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1D3FFD41" w:rsidR="00E56BDD" w:rsidRPr="00324CD0" w:rsidRDefault="00DC21F5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DC21F5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PJN-156-25 | Dobava i ugradnja automatiziranih kliznih vrata na Odjelu za </w:t>
                    </w:r>
                    <w:proofErr w:type="spellStart"/>
                    <w:r w:rsidRPr="00DC21F5">
                      <w:rPr>
                        <w:rFonts w:cs="Arial"/>
                        <w:bCs/>
                        <w:sz w:val="22"/>
                        <w:szCs w:val="24"/>
                      </w:rPr>
                      <w:t>neonatologiju</w:t>
                    </w:r>
                    <w:proofErr w:type="spellEnd"/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DC21F5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DC21F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DC21F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DC21F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DC21F5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DC21F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DC21F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DC21F5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DC21F5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79EEF1FA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DC21F5" w:rsidRPr="00DC21F5">
                  <w:rPr>
                    <w:rFonts w:cs="Arial"/>
                    <w:b/>
                  </w:rPr>
                  <w:t xml:space="preserve">Dobava i ugradnja automatiziranih kliznih vrata na Odjelu za </w:t>
                </w:r>
                <w:proofErr w:type="spellStart"/>
                <w:r w:rsidR="00DC21F5" w:rsidRPr="00DC21F5">
                  <w:rPr>
                    <w:rFonts w:cs="Arial"/>
                    <w:b/>
                  </w:rPr>
                  <w:t>neonatologiju</w:t>
                </w:r>
                <w:proofErr w:type="spellEnd"/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</w:t>
                </w:r>
                <w:r w:rsidR="00DC21F5">
                  <w:rPr>
                    <w:rFonts w:cs="Arial"/>
                    <w:b/>
                  </w:rPr>
                  <w:t>56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E6247"/>
    <w:rsid w:val="00337A1B"/>
    <w:rsid w:val="00343C71"/>
    <w:rsid w:val="00355501"/>
    <w:rsid w:val="00384E7C"/>
    <w:rsid w:val="00392D21"/>
    <w:rsid w:val="00393294"/>
    <w:rsid w:val="00394513"/>
    <w:rsid w:val="003B2780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37896"/>
    <w:rsid w:val="00D93962"/>
    <w:rsid w:val="00DC21F5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3B2780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5</cp:revision>
  <dcterms:created xsi:type="dcterms:W3CDTF">2025-10-01T07:37:00Z</dcterms:created>
  <dcterms:modified xsi:type="dcterms:W3CDTF">2025-10-17T07:58:00Z</dcterms:modified>
</cp:coreProperties>
</file>