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4211D792" w:rsidR="006214F7" w:rsidRPr="0092102C" w:rsidRDefault="006214F7" w:rsidP="006214F7">
      <w:pPr>
        <w:spacing w:after="0"/>
        <w:rPr>
          <w:rFonts w:cs="Arial"/>
          <w:sz w:val="22"/>
          <w:szCs w:val="24"/>
        </w:rPr>
      </w:pPr>
      <w:proofErr w:type="spellStart"/>
      <w:r w:rsidRPr="0092102C">
        <w:rPr>
          <w:rFonts w:cs="Arial"/>
          <w:sz w:val="22"/>
          <w:szCs w:val="24"/>
        </w:rPr>
        <w:t>Ur</w:t>
      </w:r>
      <w:proofErr w:type="spellEnd"/>
      <w:r w:rsidRPr="0092102C">
        <w:rPr>
          <w:rFonts w:cs="Arial"/>
          <w:sz w:val="22"/>
          <w:szCs w:val="24"/>
        </w:rPr>
        <w:t xml:space="preserve">. broj: </w:t>
      </w:r>
      <w:sdt>
        <w:sdtPr>
          <w:rPr>
            <w:rFonts w:cs="Arial"/>
            <w:sz w:val="22"/>
            <w:szCs w:val="24"/>
          </w:rPr>
          <w:alias w:val="Urudžbeni broj"/>
          <w:tag w:val="Urudžbeni broj"/>
          <w:id w:val="-1553064425"/>
          <w:placeholder>
            <w:docPart w:val="254F0BE193494255827940604E1C5DB3"/>
          </w:placeholder>
          <w:text/>
        </w:sdtPr>
        <w:sdtEndPr/>
        <w:sdtContent>
          <w:r w:rsidR="009E3F4C" w:rsidRPr="009E3F4C">
            <w:rPr>
              <w:rFonts w:cs="Arial"/>
              <w:sz w:val="22"/>
              <w:szCs w:val="24"/>
            </w:rPr>
            <w:t>04-</w:t>
          </w:r>
          <w:r w:rsidR="000A2F4A">
            <w:rPr>
              <w:rFonts w:cs="Arial"/>
              <w:sz w:val="22"/>
              <w:szCs w:val="24"/>
            </w:rPr>
            <w:t>264</w:t>
          </w:r>
          <w:r w:rsidR="00FF7F45">
            <w:rPr>
              <w:rFonts w:cs="Arial"/>
              <w:sz w:val="22"/>
              <w:szCs w:val="24"/>
            </w:rPr>
            <w:t>4</w:t>
          </w:r>
          <w:r w:rsidR="002D5424">
            <w:rPr>
              <w:rFonts w:cs="Arial"/>
              <w:sz w:val="22"/>
              <w:szCs w:val="24"/>
            </w:rPr>
            <w:t>/25-2/25</w:t>
          </w:r>
        </w:sdtContent>
      </w:sdt>
    </w:p>
    <w:p w14:paraId="5EF197D9" w14:textId="7345A3D3"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4-08T00:00:00Z">
            <w:dateFormat w:val="d. MMMM yyyy."/>
            <w:lid w:val="hr-HR"/>
            <w:storeMappedDataAs w:val="dateTime"/>
            <w:calendar w:val="gregorian"/>
          </w:date>
        </w:sdtPr>
        <w:sdtEndPr/>
        <w:sdtContent>
          <w:r w:rsidR="00C323E6">
            <w:rPr>
              <w:rFonts w:cs="Arial"/>
              <w:sz w:val="22"/>
              <w:szCs w:val="24"/>
              <w:u w:val="single"/>
            </w:rPr>
            <w:t>8. travnja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1799E9D8" w:rsidR="006214F7" w:rsidRPr="002D5424" w:rsidRDefault="00C323E6" w:rsidP="00C323E6">
      <w:pPr>
        <w:pStyle w:val="Odlomakpopisa"/>
        <w:numPr>
          <w:ilvl w:val="0"/>
          <w:numId w:val="33"/>
        </w:numPr>
        <w:jc w:val="right"/>
        <w:rPr>
          <w:rFonts w:asciiTheme="minorHAnsi" w:hAnsiTheme="minorHAnsi" w:cstheme="minorHAnsi"/>
          <w:szCs w:val="20"/>
        </w:rPr>
      </w:pPr>
      <w:r>
        <w:rPr>
          <w:rFonts w:asciiTheme="minorHAnsi" w:eastAsia="Calibri" w:hAnsiTheme="minorHAnsi" w:cstheme="minorHAnsi"/>
          <w:szCs w:val="20"/>
        </w:rPr>
        <w:t>SVIM ZAINTERESIRANIM GOSPODARSKIM SUBJEKTIMA -</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101FAD34" w:rsidR="006214F7" w:rsidRPr="00766046" w:rsidRDefault="006214F7" w:rsidP="00E56F8B">
      <w:pPr>
        <w:pStyle w:val="Odlomakpopisa"/>
        <w:numPr>
          <w:ilvl w:val="0"/>
          <w:numId w:val="13"/>
        </w:numPr>
        <w:spacing w:after="0" w:line="276" w:lineRule="auto"/>
        <w:jc w:val="left"/>
        <w:rPr>
          <w:rFonts w:cs="Arial"/>
          <w:bCs/>
          <w:iCs/>
          <w:sz w:val="22"/>
          <w:szCs w:val="24"/>
        </w:rPr>
      </w:pPr>
      <w:proofErr w:type="spellStart"/>
      <w:r w:rsidRPr="00766046">
        <w:rPr>
          <w:rFonts w:cs="Arial"/>
          <w:bCs/>
          <w:iCs/>
          <w:sz w:val="22"/>
          <w:szCs w:val="24"/>
        </w:rPr>
        <w:t>Ur</w:t>
      </w:r>
      <w:proofErr w:type="spellEnd"/>
      <w:r w:rsidRPr="00766046">
        <w:rPr>
          <w:rFonts w:cs="Arial"/>
          <w:bCs/>
          <w:iCs/>
          <w:sz w:val="22"/>
          <w:szCs w:val="24"/>
        </w:rPr>
        <w:t xml:space="preserve">. </w:t>
      </w:r>
      <w:r w:rsidRPr="00D77C40">
        <w:rPr>
          <w:rFonts w:cs="Arial"/>
          <w:bCs/>
          <w:iCs/>
          <w:sz w:val="22"/>
          <w:szCs w:val="24"/>
        </w:rPr>
        <w:t>broj:</w:t>
      </w:r>
      <w:r w:rsidRPr="00D77C40">
        <w:rPr>
          <w:rFonts w:cs="Arial"/>
          <w:sz w:val="22"/>
          <w:szCs w:val="24"/>
        </w:rPr>
        <w:t xml:space="preserve"> </w:t>
      </w:r>
      <w:r w:rsidR="009E3F4C" w:rsidRPr="00D77C40">
        <w:rPr>
          <w:rFonts w:cs="Arial"/>
          <w:sz w:val="22"/>
          <w:szCs w:val="24"/>
        </w:rPr>
        <w:t>04-</w:t>
      </w:r>
      <w:r w:rsidR="000A2F4A" w:rsidRPr="00D77C40">
        <w:rPr>
          <w:rFonts w:cs="Arial"/>
          <w:sz w:val="22"/>
          <w:szCs w:val="24"/>
        </w:rPr>
        <w:t>264</w:t>
      </w:r>
      <w:r w:rsidR="00FF7F45">
        <w:rPr>
          <w:rFonts w:cs="Arial"/>
          <w:sz w:val="22"/>
          <w:szCs w:val="24"/>
        </w:rPr>
        <w:t>4</w:t>
      </w:r>
      <w:r w:rsidR="002D5424" w:rsidRPr="00D77C40">
        <w:rPr>
          <w:rFonts w:cs="Arial"/>
          <w:sz w:val="22"/>
          <w:szCs w:val="24"/>
        </w:rPr>
        <w:t>/25</w:t>
      </w:r>
      <w:r w:rsidR="009E3F4C" w:rsidRPr="00D77C40">
        <w:rPr>
          <w:rFonts w:cs="Arial"/>
          <w:sz w:val="22"/>
          <w:szCs w:val="24"/>
        </w:rPr>
        <w:t>-1/2</w:t>
      </w:r>
      <w:r w:rsidR="002D5424" w:rsidRPr="00D77C40">
        <w:rPr>
          <w:rFonts w:cs="Arial"/>
          <w:sz w:val="22"/>
          <w:szCs w:val="24"/>
        </w:rPr>
        <w:t>5</w:t>
      </w:r>
      <w:r w:rsidR="009E3F4C" w:rsidRPr="00D77C40">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61F8489A" w14:textId="6E5404AA" w:rsidR="00F04668" w:rsidRPr="00766046" w:rsidRDefault="00525AEE" w:rsidP="00990393">
      <w:pPr>
        <w:tabs>
          <w:tab w:val="left" w:pos="851"/>
        </w:tabs>
        <w:spacing w:before="120" w:after="0"/>
        <w:jc w:val="left"/>
        <w:rPr>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 xml:space="preserve">u postupku nabave </w:t>
      </w:r>
      <w:proofErr w:type="spellStart"/>
      <w:r w:rsidR="006214F7" w:rsidRPr="00766046">
        <w:rPr>
          <w:rFonts w:cs="Arial"/>
          <w:bCs/>
          <w:sz w:val="22"/>
          <w:szCs w:val="24"/>
        </w:rPr>
        <w:t>evid</w:t>
      </w:r>
      <w:proofErr w:type="spellEnd"/>
      <w:r w:rsidR="006214F7" w:rsidRPr="00766046">
        <w:rPr>
          <w:rFonts w:cs="Arial"/>
          <w:bCs/>
          <w:sz w:val="22"/>
          <w:szCs w:val="24"/>
        </w:rPr>
        <w:t>.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2D5424">
            <w:rPr>
              <w:rFonts w:cs="Arial"/>
              <w:bCs/>
              <w:sz w:val="22"/>
              <w:szCs w:val="24"/>
            </w:rPr>
            <w:t>P</w:t>
          </w:r>
          <w:r w:rsidR="007A7458">
            <w:rPr>
              <w:rFonts w:cs="Arial"/>
              <w:bCs/>
              <w:sz w:val="22"/>
              <w:szCs w:val="24"/>
            </w:rPr>
            <w:t>JN-</w:t>
          </w:r>
          <w:r w:rsidR="00C323E6">
            <w:rPr>
              <w:rFonts w:cs="Arial"/>
              <w:bCs/>
              <w:sz w:val="22"/>
              <w:szCs w:val="24"/>
            </w:rPr>
            <w:t>0</w:t>
          </w:r>
          <w:r w:rsidR="00FF7F45">
            <w:rPr>
              <w:rFonts w:cs="Arial"/>
              <w:bCs/>
              <w:sz w:val="22"/>
              <w:szCs w:val="24"/>
            </w:rPr>
            <w:t>9</w:t>
          </w:r>
          <w:r w:rsidR="002D5424">
            <w:rPr>
              <w:rFonts w:cs="Arial"/>
              <w:bCs/>
              <w:sz w:val="22"/>
              <w:szCs w:val="24"/>
            </w:rPr>
            <w:t>-</w:t>
          </w:r>
          <w:r w:rsidR="007A7458">
            <w:rPr>
              <w:rFonts w:cs="Arial"/>
              <w:bCs/>
              <w:sz w:val="22"/>
              <w:szCs w:val="24"/>
            </w:rPr>
            <w:t>2</w:t>
          </w:r>
          <w:r w:rsidR="002D5424">
            <w:rPr>
              <w:rFonts w:cs="Arial"/>
              <w:bCs/>
              <w:sz w:val="22"/>
              <w:szCs w:val="24"/>
            </w:rPr>
            <w:t>5</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FF7F45" w:rsidRPr="00FF7F45">
        <w:rPr>
          <w:rFonts w:cs="Arial"/>
          <w:b/>
          <w:sz w:val="22"/>
          <w:szCs w:val="24"/>
        </w:rPr>
        <w:t>Plahte za operacijske sale</w:t>
      </w:r>
      <w:r w:rsidR="002D5424">
        <w:rPr>
          <w:rFonts w:cs="Arial"/>
          <w:b/>
          <w:sz w:val="22"/>
          <w:szCs w:val="24"/>
        </w:rPr>
        <w:t>.</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4F6EDABC" w:rsidR="00F94089" w:rsidRPr="00766046" w:rsidRDefault="0094252C"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C323E6">
            <w:rPr>
              <w:b/>
              <w:bCs/>
              <w:sz w:val="22"/>
              <w:szCs w:val="24"/>
            </w:rPr>
            <w:t>petak, 11. travnja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A6E71">
            <w:rPr>
              <w:b/>
              <w:bCs/>
              <w:sz w:val="22"/>
              <w:szCs w:val="24"/>
            </w:rPr>
            <w:t>1</w:t>
          </w:r>
          <w:r w:rsidR="00FF7F45">
            <w:rPr>
              <w:b/>
              <w:bCs/>
              <w:sz w:val="22"/>
              <w:szCs w:val="24"/>
            </w:rPr>
            <w:t>2</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706532B1" w:rsidR="0076602E" w:rsidRPr="00C715C4" w:rsidRDefault="0094252C"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hyperlink r:id="rId9" w:history="1">
            <w:r w:rsidR="002D5424" w:rsidRPr="008A5005">
              <w:rPr>
                <w:rStyle w:val="Hiperveza"/>
                <w:sz w:val="22"/>
                <w:szCs w:val="24"/>
              </w:rPr>
              <w:t>moreta.pikunic@bolnica-zadar.hr</w:t>
            </w:r>
          </w:hyperlink>
          <w:r w:rsidR="00C715C4" w:rsidRPr="00C715C4">
            <w:rPr>
              <w:sz w:val="22"/>
              <w:szCs w:val="24"/>
            </w:rPr>
            <w:t xml:space="preserve"> </w:t>
          </w:r>
          <w:r w:rsidR="00C323E6">
            <w:rPr>
              <w:sz w:val="22"/>
              <w:szCs w:val="24"/>
            </w:rPr>
            <w:t xml:space="preserve">; </w:t>
          </w:r>
          <w:hyperlink r:id="rId10" w:history="1">
            <w:r w:rsidR="00C323E6" w:rsidRPr="00D86ED3">
              <w:rPr>
                <w:rStyle w:val="Hiperveza"/>
                <w:sz w:val="22"/>
                <w:szCs w:val="24"/>
              </w:rPr>
              <w:t>maja.birkic@bolnica-zadar.hr</w:t>
            </w:r>
          </w:hyperlink>
          <w:r w:rsidR="00C323E6">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iperveza"/>
                <w:rFonts w:cs="Arial"/>
                <w:noProof/>
              </w:rPr>
              <w:t>2.4</w:t>
            </w:r>
            <w:r>
              <w:rPr>
                <w:rFonts w:asciiTheme="minorHAnsi" w:eastAsiaTheme="minorEastAsia" w:hAnsiTheme="minorHAnsi"/>
                <w:noProof/>
                <w:kern w:val="2"/>
                <w:sz w:val="22"/>
                <w:lang w:eastAsia="hr-HR"/>
                <w14:ligatures w14:val="standardContextual"/>
              </w:rPr>
              <w:tab/>
            </w:r>
            <w:r w:rsidRPr="00514E5D">
              <w:rPr>
                <w:rStyle w:val="Hiperveza"/>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iperveza"/>
                <w:noProof/>
              </w:rPr>
              <w:t>2.4.1</w:t>
            </w:r>
            <w:r>
              <w:rPr>
                <w:rFonts w:asciiTheme="minorHAnsi" w:eastAsiaTheme="minorEastAsia" w:hAnsiTheme="minorHAnsi"/>
                <w:noProof/>
                <w:kern w:val="2"/>
                <w:sz w:val="22"/>
                <w:lang w:eastAsia="hr-HR"/>
                <w14:ligatures w14:val="standardContextual"/>
              </w:rPr>
              <w:tab/>
            </w:r>
            <w:r w:rsidRPr="00514E5D">
              <w:rPr>
                <w:rStyle w:val="Hiperveza"/>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w:t>
      </w:r>
      <w:proofErr w:type="spellStart"/>
      <w:r w:rsidR="00D73944" w:rsidRPr="00D73944">
        <w:t>Ur</w:t>
      </w:r>
      <w:proofErr w:type="spellEnd"/>
      <w:r w:rsidR="00D73944" w:rsidRPr="00D73944">
        <w:t>.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6E845E18" w:rsidR="00335865" w:rsidRPr="00B4486D" w:rsidRDefault="0094252C" w:rsidP="00A568CF">
            <w:sdt>
              <w:sdtPr>
                <w:rPr>
                  <w:rFonts w:cs="Arial"/>
                  <w:bCs/>
                </w:rPr>
                <w:alias w:val="Evidencijski broj nabave"/>
                <w:tag w:val="Evidencijski broj nabave"/>
                <w:id w:val="-1970737025"/>
                <w:placeholder>
                  <w:docPart w:val="4747CD722C384E9AB1AF8887E1B338E3"/>
                </w:placeholder>
                <w:text/>
              </w:sdtPr>
              <w:sdtEndPr/>
              <w:sdtContent>
                <w:r w:rsidR="002D5424">
                  <w:rPr>
                    <w:rFonts w:cs="Arial"/>
                    <w:bCs/>
                  </w:rPr>
                  <w:t>P</w:t>
                </w:r>
                <w:r w:rsidR="007A7458" w:rsidRPr="00E009B6">
                  <w:rPr>
                    <w:rFonts w:cs="Arial"/>
                    <w:bCs/>
                  </w:rPr>
                  <w:t>JN-</w:t>
                </w:r>
                <w:r w:rsidR="00C323E6">
                  <w:rPr>
                    <w:rFonts w:cs="Arial"/>
                    <w:bCs/>
                  </w:rPr>
                  <w:t>0</w:t>
                </w:r>
                <w:r w:rsidR="00FF7F45">
                  <w:rPr>
                    <w:rFonts w:cs="Arial"/>
                    <w:bCs/>
                  </w:rPr>
                  <w:t>9</w:t>
                </w:r>
                <w:r w:rsidR="002D5424">
                  <w:rPr>
                    <w:rFonts w:cs="Arial"/>
                    <w:bCs/>
                  </w:rPr>
                  <w:t>-25</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1E82918F" w:rsidR="00335865" w:rsidRPr="000975C9" w:rsidRDefault="0094252C" w:rsidP="00A568CF">
            <w:sdt>
              <w:sdtPr>
                <w:alias w:val="Procijenjena vrijednost iz Plana nabave"/>
                <w:tag w:val="Procijenjena vrijednost iz Plana nabave"/>
                <w:id w:val="-754285267"/>
                <w:placeholder>
                  <w:docPart w:val="0388DE3E3E2F46C2B617B9B17E434589"/>
                </w:placeholder>
              </w:sdtPr>
              <w:sdtEndPr/>
              <w:sdtContent>
                <w:r w:rsidR="00C323E6">
                  <w:t>2</w:t>
                </w:r>
                <w:r w:rsidR="00335E24">
                  <w:t>0</w:t>
                </w:r>
                <w:r w:rsidR="007A7458">
                  <w:t>.000,00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626784" w:rsidP="00D53DD9">
            <w:hyperlink r:id="rId16" w:history="1">
              <w:r w:rsidRPr="00907BA6">
                <w:rPr>
                  <w:rStyle w:val="Hiperveza"/>
                </w:rPr>
                <w:t>nabava@bolnica-zadar.hr</w:t>
              </w:r>
            </w:hyperlink>
            <w:r>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774EF152" w:rsidR="00626784" w:rsidRPr="009103B5" w:rsidRDefault="0094252C" w:rsidP="00CD0B8B">
            <w:sdt>
              <w:sdtPr>
                <w:rPr>
                  <w:b/>
                  <w:bCs/>
                  <w:sz w:val="22"/>
                  <w:szCs w:val="24"/>
                </w:rPr>
                <w:id w:val="-1438435387"/>
                <w:placeholder>
                  <w:docPart w:val="5E5035F8EC244E0FB6F7387AB187F0AF"/>
                </w:placeholder>
              </w:sdtPr>
              <w:sdtEndPr/>
              <w:sdtContent>
                <w:r w:rsidR="00C715C4">
                  <w:t>Moreta Pikunić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D33EE12" w:rsidR="00D53DD9" w:rsidRPr="009E0360" w:rsidRDefault="0094252C" w:rsidP="00D53DD9">
            <w:sdt>
              <w:sdtPr>
                <w:rPr>
                  <w:b/>
                  <w:bCs/>
                  <w:sz w:val="22"/>
                  <w:szCs w:val="24"/>
                </w:rPr>
                <w:id w:val="-1104039572"/>
                <w:placeholder>
                  <w:docPart w:val="8A122CA63959430E943B0BD7A8ED0890"/>
                </w:placeholder>
              </w:sdtPr>
              <w:sdtEndPr/>
              <w:sdtContent>
                <w:r w:rsidR="007A7458" w:rsidRPr="007A7458">
                  <w:t>023/505-</w:t>
                </w:r>
                <w:r w:rsidR="005B52B1">
                  <w:t>535</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7B31718B" w:rsidR="00D53DD9" w:rsidRPr="009103B5" w:rsidRDefault="0094252C" w:rsidP="00D53DD9">
            <w:sdt>
              <w:sdtPr>
                <w:rPr>
                  <w:sz w:val="22"/>
                  <w:szCs w:val="24"/>
                </w:rPr>
                <w:id w:val="-96401897"/>
                <w:placeholder>
                  <w:docPart w:val="B507F8240C3446A99AFD6C0A4D2D1A79"/>
                </w:placeholder>
              </w:sdtPr>
              <w:sdtEndPr/>
              <w:sdtContent>
                <w:hyperlink r:id="rId17" w:history="1">
                  <w:r w:rsidR="00C715C4" w:rsidRPr="00C715C4">
                    <w:rPr>
                      <w:rStyle w:val="Hiperveza"/>
                      <w:sz w:val="22"/>
                      <w:szCs w:val="24"/>
                    </w:rPr>
                    <w:t>moreta.pikunic@bolnica-zadar.hr</w:t>
                  </w:r>
                </w:hyperlink>
                <w:r w:rsidR="00C715C4" w:rsidRPr="00C715C4">
                  <w:rPr>
                    <w:sz w:val="22"/>
                    <w:szCs w:val="24"/>
                  </w:rPr>
                  <w:t xml:space="preserve"> </w:t>
                </w:r>
                <w:hyperlink r:id="rId18"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759872B8"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FF7F45" w:rsidRPr="00FF7F45">
            <w:rPr>
              <w:b/>
              <w:bCs/>
            </w:rPr>
            <w:t>Plahte za operacijske sale</w:t>
          </w:r>
        </w:sdtContent>
      </w:sdt>
      <w:r w:rsidR="00520A27">
        <w:t xml:space="preserve"> što</w:t>
      </w:r>
      <w:r w:rsidR="00E67BE2">
        <w:t xml:space="preserve"> podrazumijeva</w:t>
      </w:r>
      <w:r w:rsidR="009F6319">
        <w:t>:</w:t>
      </w:r>
      <w:r w:rsidR="001B3476">
        <w:t xml:space="preserve"> </w:t>
      </w:r>
    </w:p>
    <w:p w14:paraId="7304E3B3" w14:textId="5AB4C54C" w:rsidR="00CC7170" w:rsidRDefault="0094252C"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FC7E6E" w:rsidRPr="00FC7E6E">
            <w:t>Nabav</w:t>
          </w:r>
          <w:r w:rsidR="00C323E6">
            <w:t>k</w:t>
          </w:r>
          <w:r w:rsidR="00FC7E6E" w:rsidRPr="00FC7E6E">
            <w:t xml:space="preserve">u </w:t>
          </w:r>
          <w:r w:rsidR="00FF7F45">
            <w:t>zelenog</w:t>
          </w:r>
          <w:r w:rsidR="00C323E6">
            <w:t xml:space="preserve"> rublja</w:t>
          </w:r>
          <w:r w:rsidR="00FF7F45">
            <w:t xml:space="preserve"> za operacijske sale, zelenih kompresa, operacijskih mantila i operacijskih odijela</w:t>
          </w:r>
          <w:r w:rsidR="00C323E6">
            <w:t xml:space="preserve"> za potrebe </w:t>
          </w:r>
          <w:r w:rsidR="005B52B1">
            <w:t>Opće bolnice Zadar</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4BEA4651" w:rsidR="00C715C4" w:rsidRPr="00F76273" w:rsidRDefault="00FF7F45" w:rsidP="00C715C4">
            <w:pPr>
              <w:spacing w:after="0"/>
              <w:jc w:val="center"/>
              <w:rPr>
                <w:rFonts w:cs="Arial"/>
                <w:b/>
                <w:bCs/>
                <w:szCs w:val="20"/>
              </w:rPr>
            </w:pPr>
            <w:r w:rsidRPr="00FF7F45">
              <w:rPr>
                <w:rFonts w:cs="Arial"/>
                <w:b/>
                <w:bCs/>
                <w:szCs w:val="20"/>
              </w:rPr>
              <w:t>Plahte za operacijske sale</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60F665E0" w:rsidR="00C715C4" w:rsidRPr="00C715C4" w:rsidRDefault="00C323E6" w:rsidP="00C715C4">
            <w:pPr>
              <w:spacing w:after="0"/>
              <w:jc w:val="center"/>
              <w:rPr>
                <w:rFonts w:cs="Arial"/>
                <w:b/>
                <w:bCs/>
                <w:szCs w:val="20"/>
              </w:rPr>
            </w:pPr>
            <w:r>
              <w:rPr>
                <w:rFonts w:cs="Arial"/>
                <w:b/>
                <w:bCs/>
                <w:szCs w:val="20"/>
              </w:rPr>
              <w:t>2</w:t>
            </w:r>
            <w:r w:rsidR="00402EA8">
              <w:rPr>
                <w:rFonts w:cs="Arial"/>
                <w:b/>
                <w:bCs/>
                <w:szCs w:val="20"/>
              </w:rPr>
              <w:t>0</w:t>
            </w:r>
            <w:r w:rsidR="00C715C4" w:rsidRPr="00C715C4">
              <w:rPr>
                <w:rFonts w:cs="Arial"/>
                <w:b/>
                <w:bCs/>
                <w:szCs w:val="20"/>
              </w:rPr>
              <w:t>.000,00</w:t>
            </w:r>
            <w:r w:rsidR="00C715C4">
              <w:rPr>
                <w:rFonts w:cs="Arial"/>
                <w:b/>
                <w:bCs/>
                <w:szCs w:val="20"/>
              </w:rPr>
              <w:t xml:space="preserve"> EUR</w:t>
            </w:r>
          </w:p>
        </w:tc>
      </w:tr>
    </w:tbl>
    <w:p w14:paraId="314E67D8" w14:textId="77777777" w:rsidR="0094252C" w:rsidRDefault="00635422" w:rsidP="0094252C">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Start w:id="53" w:name="_Toc150759785"/>
      <w:bookmarkEnd w:id="48"/>
      <w:bookmarkEnd w:id="49"/>
      <w:bookmarkEnd w:id="50"/>
      <w:bookmarkEnd w:id="51"/>
      <w:bookmarkEnd w:id="52"/>
    </w:p>
    <w:p w14:paraId="2DAAEAD6" w14:textId="4DCC4A62" w:rsidR="00CE78D2" w:rsidRPr="00CE78D2" w:rsidRDefault="00CE78D2" w:rsidP="0094252C">
      <w:pPr>
        <w:pStyle w:val="Naslov2"/>
        <w:numPr>
          <w:ilvl w:val="0"/>
          <w:numId w:val="0"/>
        </w:numPr>
        <w:ind w:firstLine="576"/>
      </w:pPr>
      <w:r w:rsidRPr="0094252C">
        <w:rPr>
          <w:rFonts w:eastAsiaTheme="minorHAnsi" w:cstheme="minorBidi"/>
          <w:color w:val="auto"/>
          <w:sz w:val="20"/>
          <w:szCs w:val="22"/>
        </w:rPr>
        <w:t>Naručitelj u Troškovniku koji je prilog ovom Pozivu i pripadajućoj dokumentaciji određuje: predviđenu (okvirnu) količinu predmeta nabave. Naručitelj će naručivati predmet nabave prema stvarnim potrebnim količinama</w:t>
      </w:r>
      <w:r w:rsidR="00C04140" w:rsidRPr="0094252C">
        <w:rPr>
          <w:rFonts w:eastAsiaTheme="minorHAnsi" w:cstheme="minorBidi"/>
          <w:color w:val="auto"/>
          <w:sz w:val="20"/>
          <w:szCs w:val="22"/>
        </w:rPr>
        <w:t xml:space="preserve"> putem sukcesivnih narudžbenica</w:t>
      </w:r>
      <w:r w:rsidRPr="0094252C">
        <w:rPr>
          <w:rFonts w:eastAsiaTheme="minorHAnsi" w:cstheme="minorBidi"/>
          <w:color w:val="auto"/>
          <w:sz w:val="20"/>
          <w:szCs w:val="22"/>
        </w:rPr>
        <w:t>.</w:t>
      </w:r>
    </w:p>
    <w:p w14:paraId="55714F0A" w14:textId="7DD3492B" w:rsidR="00A95C68" w:rsidRDefault="00A95C68" w:rsidP="00A95C68">
      <w:pPr>
        <w:pStyle w:val="Naslov2"/>
      </w:pPr>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w:t>
      </w:r>
      <w:proofErr w:type="spellStart"/>
      <w:r>
        <w:t>xls</w:t>
      </w:r>
      <w:proofErr w:type="spellEnd"/>
      <w:r>
        <w:t xml:space="preserve">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4929" w:type="pct"/>
        <w:tblInd w:w="1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51"/>
        <w:gridCol w:w="3919"/>
        <w:gridCol w:w="4098"/>
      </w:tblGrid>
      <w:tr w:rsidR="00C14BC0" w:rsidRPr="00324CD0" w14:paraId="6B549342" w14:textId="77777777" w:rsidTr="00FF7F45">
        <w:trPr>
          <w:trHeight w:val="251"/>
        </w:trPr>
        <w:tc>
          <w:tcPr>
            <w:tcW w:w="4770"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FF7F45">
        <w:trPr>
          <w:trHeight w:val="584"/>
        </w:trPr>
        <w:tc>
          <w:tcPr>
            <w:tcW w:w="4770"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3CCBC522" w:rsidR="00C14BC0" w:rsidRPr="00324CD0" w:rsidRDefault="00FF7F45" w:rsidP="00DE0F15">
            <w:pPr>
              <w:spacing w:after="0"/>
              <w:jc w:val="center"/>
              <w:rPr>
                <w:rFonts w:eastAsia="Times New Roman" w:cs="Arial"/>
                <w:bCs/>
                <w:lang w:eastAsia="hr-HR"/>
              </w:rPr>
            </w:pPr>
            <w:r w:rsidRPr="00FF7F45">
              <w:rPr>
                <w:rFonts w:eastAsia="Times New Roman" w:cs="Arial"/>
                <w:bCs/>
                <w:lang w:eastAsia="hr-HR"/>
              </w:rPr>
              <w:t>Plahte za operacijske sale</w:t>
            </w:r>
          </w:p>
        </w:tc>
      </w:tr>
      <w:tr w:rsidR="00C14BC0" w:rsidRPr="004D5733" w14:paraId="3871BAFA" w14:textId="77777777" w:rsidTr="00FF7F45">
        <w:trPr>
          <w:trHeight w:val="150"/>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FF7F45">
        <w:trPr>
          <w:trHeight w:val="90"/>
        </w:trPr>
        <w:tc>
          <w:tcPr>
            <w:tcW w:w="8868"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FF7F45">
        <w:trPr>
          <w:trHeight w:val="327"/>
        </w:trPr>
        <w:tc>
          <w:tcPr>
            <w:tcW w:w="851"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7"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7A56D73A" w:rsidR="00C14BC0" w:rsidRPr="005B51B0" w:rsidRDefault="00FF7F45" w:rsidP="003B393F">
            <w:pPr>
              <w:spacing w:after="0"/>
              <w:ind w:left="-1134"/>
              <w:jc w:val="center"/>
              <w:rPr>
                <w:rFonts w:cs="Arial"/>
                <w:b/>
                <w:bCs/>
                <w:szCs w:val="20"/>
              </w:rPr>
            </w:pPr>
            <w:r w:rsidRPr="00FF7F45">
              <w:rPr>
                <w:rFonts w:cs="Arial"/>
                <w:b/>
                <w:bCs/>
                <w:szCs w:val="20"/>
              </w:rPr>
              <w:t>Plahte za operacijske sale</w:t>
            </w:r>
          </w:p>
        </w:tc>
      </w:tr>
      <w:tr w:rsidR="00FF7F45" w:rsidRPr="00324CD0" w14:paraId="6ABDD9EE" w14:textId="77777777" w:rsidTr="00FF7F45">
        <w:trPr>
          <w:trHeight w:val="375"/>
        </w:trPr>
        <w:tc>
          <w:tcPr>
            <w:tcW w:w="8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bottom"/>
          </w:tcPr>
          <w:p w14:paraId="3F397F7A" w14:textId="03D11AE5" w:rsidR="00FF7F45" w:rsidRPr="00F76273" w:rsidRDefault="00FF7F45" w:rsidP="00FF7F45">
            <w:pPr>
              <w:spacing w:before="60" w:after="60"/>
              <w:jc w:val="right"/>
              <w:rPr>
                <w:rFonts w:cs="Arial"/>
                <w:b/>
                <w:bCs/>
                <w:szCs w:val="20"/>
              </w:rPr>
            </w:pPr>
            <w:r>
              <w:rPr>
                <w:color w:val="000000"/>
              </w:rPr>
              <w:t>1.1</w:t>
            </w:r>
          </w:p>
        </w:tc>
        <w:tc>
          <w:tcPr>
            <w:tcW w:w="8017" w:type="dxa"/>
            <w:gridSpan w:val="2"/>
            <w:tcBorders>
              <w:top w:val="single" w:sz="4" w:space="0" w:color="auto"/>
              <w:left w:val="nil"/>
              <w:bottom w:val="single" w:sz="4" w:space="0" w:color="auto"/>
              <w:right w:val="single" w:sz="4" w:space="0" w:color="auto"/>
            </w:tcBorders>
            <w:shd w:val="clear" w:color="auto" w:fill="auto"/>
          </w:tcPr>
          <w:p w14:paraId="1BDC3A86" w14:textId="153E633F" w:rsidR="00FF7F45" w:rsidRPr="00F76273" w:rsidRDefault="00FF7F45" w:rsidP="00FF7F45">
            <w:pPr>
              <w:spacing w:after="0"/>
              <w:jc w:val="left"/>
              <w:rPr>
                <w:rFonts w:cs="Arial"/>
                <w:b/>
                <w:bCs/>
                <w:szCs w:val="20"/>
              </w:rPr>
            </w:pPr>
            <w:r w:rsidRPr="00D73A97">
              <w:t>Operacijske plahte</w:t>
            </w:r>
          </w:p>
        </w:tc>
      </w:tr>
      <w:tr w:rsidR="00FF7F45" w:rsidRPr="00324CD0" w14:paraId="6364CDC5"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05E6298" w14:textId="012BBE08" w:rsidR="00FF7F45" w:rsidRPr="00324CD0" w:rsidRDefault="00FF7F45" w:rsidP="00FF7F45">
            <w:pPr>
              <w:spacing w:before="60" w:after="0"/>
              <w:jc w:val="right"/>
              <w:rPr>
                <w:rFonts w:cs="Arial"/>
                <w:szCs w:val="16"/>
              </w:rPr>
            </w:pPr>
            <w:r>
              <w:rPr>
                <w:color w:val="000000"/>
              </w:rPr>
              <w:t>1.2</w:t>
            </w:r>
          </w:p>
        </w:tc>
        <w:tc>
          <w:tcPr>
            <w:tcW w:w="8017" w:type="dxa"/>
            <w:gridSpan w:val="2"/>
            <w:tcBorders>
              <w:top w:val="nil"/>
              <w:left w:val="nil"/>
              <w:bottom w:val="single" w:sz="4" w:space="0" w:color="auto"/>
              <w:right w:val="single" w:sz="4" w:space="0" w:color="auto"/>
            </w:tcBorders>
            <w:shd w:val="clear" w:color="auto" w:fill="auto"/>
          </w:tcPr>
          <w:p w14:paraId="0FF9209D" w14:textId="5939A64C" w:rsidR="00FF7F45" w:rsidRPr="005B52B1" w:rsidRDefault="00FF7F45" w:rsidP="00FF7F45">
            <w:pPr>
              <w:spacing w:after="0"/>
              <w:jc w:val="left"/>
              <w:rPr>
                <w:rFonts w:cs="Arial"/>
                <w:color w:val="000000"/>
                <w:szCs w:val="20"/>
              </w:rPr>
            </w:pPr>
            <w:r w:rsidRPr="00D73A97">
              <w:t>Operacijska plahta sa šlicem</w:t>
            </w:r>
          </w:p>
        </w:tc>
      </w:tr>
      <w:tr w:rsidR="00FF7F45" w:rsidRPr="005B52B1" w14:paraId="3E484A04"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780E7B0" w14:textId="0DFB684E" w:rsidR="00FF7F45" w:rsidRPr="00085DC3" w:rsidRDefault="00FF7F45" w:rsidP="00FF7F45">
            <w:pPr>
              <w:spacing w:before="60" w:after="0"/>
              <w:jc w:val="right"/>
            </w:pPr>
            <w:r>
              <w:rPr>
                <w:color w:val="000000"/>
              </w:rPr>
              <w:t>1.3</w:t>
            </w:r>
          </w:p>
        </w:tc>
        <w:tc>
          <w:tcPr>
            <w:tcW w:w="8017" w:type="dxa"/>
            <w:gridSpan w:val="2"/>
            <w:tcBorders>
              <w:top w:val="nil"/>
              <w:left w:val="nil"/>
              <w:bottom w:val="single" w:sz="4" w:space="0" w:color="auto"/>
              <w:right w:val="single" w:sz="4" w:space="0" w:color="auto"/>
            </w:tcBorders>
            <w:shd w:val="clear" w:color="auto" w:fill="auto"/>
          </w:tcPr>
          <w:p w14:paraId="474507C7" w14:textId="039D8E86" w:rsidR="00FF7F45" w:rsidRPr="005B52B1" w:rsidRDefault="00FF7F45" w:rsidP="00FF7F45">
            <w:pPr>
              <w:spacing w:after="0"/>
              <w:jc w:val="left"/>
              <w:rPr>
                <w:rFonts w:cs="Arial"/>
                <w:color w:val="000000"/>
                <w:szCs w:val="20"/>
              </w:rPr>
            </w:pPr>
            <w:r w:rsidRPr="00D73A97">
              <w:t>Komprese</w:t>
            </w:r>
          </w:p>
        </w:tc>
      </w:tr>
      <w:tr w:rsidR="00FF7F45" w:rsidRPr="005B52B1" w14:paraId="153C15A1"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278E3B34" w14:textId="5A0ADEF0" w:rsidR="00FF7F45" w:rsidRPr="00085DC3" w:rsidRDefault="00FF7F45" w:rsidP="00FF7F45">
            <w:pPr>
              <w:spacing w:before="60" w:after="0"/>
              <w:jc w:val="right"/>
            </w:pPr>
            <w:r>
              <w:rPr>
                <w:color w:val="000000"/>
              </w:rPr>
              <w:lastRenderedPageBreak/>
              <w:t>1.4</w:t>
            </w:r>
          </w:p>
        </w:tc>
        <w:tc>
          <w:tcPr>
            <w:tcW w:w="8017" w:type="dxa"/>
            <w:gridSpan w:val="2"/>
            <w:tcBorders>
              <w:top w:val="nil"/>
              <w:left w:val="nil"/>
              <w:bottom w:val="single" w:sz="4" w:space="0" w:color="auto"/>
              <w:right w:val="single" w:sz="4" w:space="0" w:color="auto"/>
            </w:tcBorders>
            <w:shd w:val="clear" w:color="auto" w:fill="auto"/>
          </w:tcPr>
          <w:p w14:paraId="16820665" w14:textId="6C86C999" w:rsidR="00FF7F45" w:rsidRPr="005B52B1" w:rsidRDefault="00FF7F45" w:rsidP="00FF7F45">
            <w:pPr>
              <w:spacing w:after="0"/>
              <w:jc w:val="left"/>
              <w:rPr>
                <w:rFonts w:cs="Arial"/>
                <w:color w:val="000000"/>
                <w:szCs w:val="20"/>
              </w:rPr>
            </w:pPr>
            <w:r w:rsidRPr="00D73A97">
              <w:t xml:space="preserve">Komprese sa šlicom </w:t>
            </w:r>
          </w:p>
        </w:tc>
      </w:tr>
      <w:tr w:rsidR="00FF7F45" w:rsidRPr="005B52B1" w14:paraId="749BEE3A"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92C8243" w14:textId="2742F4EF" w:rsidR="00FF7F45" w:rsidRPr="00085DC3" w:rsidRDefault="00FF7F45" w:rsidP="00FF7F45">
            <w:pPr>
              <w:spacing w:before="60" w:after="0"/>
              <w:jc w:val="right"/>
            </w:pPr>
            <w:r>
              <w:rPr>
                <w:color w:val="000000"/>
              </w:rPr>
              <w:t>1.5</w:t>
            </w:r>
          </w:p>
        </w:tc>
        <w:tc>
          <w:tcPr>
            <w:tcW w:w="8017" w:type="dxa"/>
            <w:gridSpan w:val="2"/>
            <w:tcBorders>
              <w:top w:val="nil"/>
              <w:left w:val="nil"/>
              <w:bottom w:val="single" w:sz="4" w:space="0" w:color="auto"/>
              <w:right w:val="single" w:sz="4" w:space="0" w:color="auto"/>
            </w:tcBorders>
            <w:shd w:val="clear" w:color="auto" w:fill="auto"/>
          </w:tcPr>
          <w:p w14:paraId="5B8E13D6" w14:textId="7C34540A" w:rsidR="00FF7F45" w:rsidRPr="005B52B1" w:rsidRDefault="00FF7F45" w:rsidP="00FF7F45">
            <w:pPr>
              <w:spacing w:after="0"/>
              <w:jc w:val="left"/>
              <w:rPr>
                <w:rFonts w:cs="Arial"/>
                <w:color w:val="000000"/>
                <w:szCs w:val="20"/>
              </w:rPr>
            </w:pPr>
            <w:r w:rsidRPr="00D73A97">
              <w:t>Operacijska odijela</w:t>
            </w:r>
          </w:p>
        </w:tc>
      </w:tr>
      <w:tr w:rsidR="00FF7F45" w:rsidRPr="005B52B1" w14:paraId="600244AA"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09F09236" w14:textId="486162AC" w:rsidR="00FF7F45" w:rsidRPr="00085DC3" w:rsidRDefault="00FF7F45" w:rsidP="00FF7F45">
            <w:pPr>
              <w:spacing w:before="60" w:after="0"/>
              <w:jc w:val="right"/>
            </w:pPr>
            <w:r>
              <w:rPr>
                <w:color w:val="000000"/>
              </w:rPr>
              <w:t>1.6</w:t>
            </w:r>
          </w:p>
        </w:tc>
        <w:tc>
          <w:tcPr>
            <w:tcW w:w="8017" w:type="dxa"/>
            <w:gridSpan w:val="2"/>
            <w:tcBorders>
              <w:top w:val="nil"/>
              <w:left w:val="nil"/>
              <w:bottom w:val="single" w:sz="4" w:space="0" w:color="auto"/>
              <w:right w:val="single" w:sz="4" w:space="0" w:color="auto"/>
            </w:tcBorders>
            <w:shd w:val="clear" w:color="auto" w:fill="auto"/>
          </w:tcPr>
          <w:p w14:paraId="6D25D8FD" w14:textId="6700B61C" w:rsidR="00FF7F45" w:rsidRPr="005B52B1" w:rsidRDefault="00FF7F45" w:rsidP="00FF7F45">
            <w:pPr>
              <w:spacing w:after="0"/>
              <w:jc w:val="left"/>
              <w:rPr>
                <w:rFonts w:cs="Arial"/>
                <w:color w:val="000000"/>
                <w:szCs w:val="20"/>
              </w:rPr>
            </w:pPr>
            <w:r w:rsidRPr="00D73A97">
              <w:t xml:space="preserve">Operacijski mantil </w:t>
            </w:r>
          </w:p>
        </w:tc>
      </w:tr>
      <w:tr w:rsidR="00146585" w:rsidRPr="00324CD0" w14:paraId="0C6B0FFF" w14:textId="77777777" w:rsidTr="00FF7F45">
        <w:trPr>
          <w:trHeight w:val="483"/>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311BFD44" w:rsidR="00146585" w:rsidRPr="00324CD0" w:rsidRDefault="00146585" w:rsidP="00146585">
            <w:pPr>
              <w:spacing w:after="0"/>
              <w:rPr>
                <w:rFonts w:eastAsia="Times New Roman" w:cs="Arial"/>
                <w:lang w:eastAsia="hr-HR"/>
              </w:rPr>
            </w:pPr>
            <w:r>
              <w:rPr>
                <w:rFonts w:eastAsia="Times New Roman" w:cs="Arial"/>
                <w:lang w:eastAsia="hr-HR"/>
              </w:rPr>
              <w:t xml:space="preserve">NAPOMENA: Na zahtjev Naručitelja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 xml:space="preserve">je gospodarski subjekt koji ima poslovni </w:t>
      </w:r>
      <w:proofErr w:type="spellStart"/>
      <w:r w:rsidRPr="000162D5">
        <w:t>nastan</w:t>
      </w:r>
      <w:proofErr w:type="spellEnd"/>
      <w:r w:rsidRPr="000162D5">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w:t>
      </w:r>
      <w:r w:rsidRPr="009C43D1">
        <w:lastRenderedPageBreak/>
        <w:t xml:space="preserve">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w:t>
      </w:r>
      <w:proofErr w:type="spellStart"/>
      <w:r w:rsidRPr="003327D8">
        <w:t>nastan</w:t>
      </w:r>
      <w:proofErr w:type="spellEnd"/>
      <w:r w:rsidRPr="003327D8">
        <w:t xml:space="preserve">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proofErr w:type="spellStart"/>
      <w:r w:rsidRPr="003327D8">
        <w:t>podtočk</w:t>
      </w:r>
      <w:r w:rsidR="009033EC">
        <w:t>e</w:t>
      </w:r>
      <w:proofErr w:type="spellEnd"/>
      <w:r w:rsidR="009033EC">
        <w:t xml:space="preserve"> 1.</w:t>
      </w:r>
      <w:r w:rsidRPr="003327D8">
        <w:t xml:space="preserve"> </w:t>
      </w:r>
      <w:r w:rsidR="009033EC">
        <w:t xml:space="preserve">navoda </w:t>
      </w:r>
      <w:r w:rsidRPr="003327D8">
        <w:t xml:space="preserve">od a) do f) i za odgovarajuća kaznena djela koja, prema nacionalnim propisima države poslovnog </w:t>
      </w:r>
      <w:proofErr w:type="spellStart"/>
      <w:r w:rsidRPr="003327D8">
        <w:t>nastana</w:t>
      </w:r>
      <w:proofErr w:type="spellEnd"/>
      <w:r w:rsidRPr="003327D8">
        <w:t xml:space="preserve">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 xml:space="preserve">u Republici Hrvatskoj, ako gospodarski subjekt ima poslovni </w:t>
      </w:r>
      <w:proofErr w:type="spellStart"/>
      <w:r>
        <w:t>nastan</w:t>
      </w:r>
      <w:proofErr w:type="spellEnd"/>
      <w:r>
        <w:t xml:space="preserve"> u Republici Hrvatskoj, ili</w:t>
      </w:r>
    </w:p>
    <w:p w14:paraId="70919138" w14:textId="77777777" w:rsidR="00A72DC4" w:rsidRDefault="00A72DC4" w:rsidP="00E56F8B">
      <w:pPr>
        <w:pStyle w:val="Odlomakpopisa"/>
        <w:numPr>
          <w:ilvl w:val="0"/>
          <w:numId w:val="7"/>
        </w:numPr>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lastRenderedPageBreak/>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 xml:space="preserve">Upis u sudski, obrtni, strukovni ili drugi odgovarajući registar u državi njegova poslovnog </w:t>
                </w:r>
                <w:proofErr w:type="spellStart"/>
                <w:r w:rsidRPr="007E72BE">
                  <w:t>nastana</w:t>
                </w:r>
                <w:proofErr w:type="spellEnd"/>
                <w:r w:rsidRPr="007E72BE">
                  <w:t>.</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56A3307A"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35762162"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bl>
    <w:p w14:paraId="6177EBA1" w14:textId="77777777" w:rsidR="00A30599" w:rsidRPr="00A30599" w:rsidRDefault="00974E03" w:rsidP="00974E03">
      <w:pPr>
        <w:spacing w:before="240"/>
        <w:ind w:left="360"/>
        <w:rPr>
          <w:rStyle w:val="Naglaeno"/>
          <w:b w:val="0"/>
          <w:bCs w:val="0"/>
        </w:rPr>
      </w:pPr>
      <w:r>
        <w:rPr>
          <w:noProof/>
        </w:rPr>
        <w:lastRenderedPageBreak/>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w:t>
      </w:r>
      <w:proofErr w:type="spellStart"/>
      <w:r w:rsidRPr="00B4486D">
        <w:t>Procurement</w:t>
      </w:r>
      <w:proofErr w:type="spellEnd"/>
      <w:r w:rsidRPr="00B4486D">
        <w:t xml:space="preserve"> </w:t>
      </w:r>
      <w:proofErr w:type="spellStart"/>
      <w:r w:rsidRPr="00B4486D">
        <w:t>Document</w:t>
      </w:r>
      <w:proofErr w:type="spellEnd"/>
      <w:r w:rsidRPr="00B4486D">
        <w:t xml:space="preserve">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t xml:space="preserve">Upute za popunjavanje </w:t>
      </w:r>
      <w:proofErr w:type="spellStart"/>
      <w:r>
        <w:t>eESPD</w:t>
      </w:r>
      <w:proofErr w:type="spellEnd"/>
      <w:r>
        <w:t xml:space="preserve">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lastRenderedPageBreak/>
        <w:t>O</w:t>
      </w:r>
      <w:r w:rsidR="00A375C1">
        <w:t xml:space="preserve">djeljak D - Podaci o </w:t>
      </w:r>
      <w:proofErr w:type="spellStart"/>
      <w:r w:rsidR="00A375C1">
        <w:t>podugovarateljima</w:t>
      </w:r>
      <w:proofErr w:type="spellEnd"/>
      <w:r w:rsidR="00A375C1">
        <w:t xml:space="preserve">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w:t>
      </w:r>
      <w:proofErr w:type="spellStart"/>
      <w:r w:rsidRPr="00933855">
        <w:t>podugovaratelja</w:t>
      </w:r>
      <w:proofErr w:type="spellEnd"/>
      <w:r w:rsidRPr="00933855">
        <w:t xml:space="preserve">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 xml:space="preserve">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w:t>
      </w:r>
      <w:proofErr w:type="spellStart"/>
      <w:r w:rsidRPr="00933855">
        <w:t>podugovaratelja</w:t>
      </w:r>
      <w:proofErr w:type="spellEnd"/>
      <w:r w:rsidRPr="00933855">
        <w:t xml:space="preserve">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594A1E48"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FF7F45" w:rsidRPr="00FF7F45">
        <w:rPr>
          <w:b/>
          <w:bCs/>
        </w:rPr>
        <w:t>Plahte za operacijske sale</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lastRenderedPageBreak/>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lastRenderedPageBreak/>
        <w:t>D</w:t>
      </w:r>
      <w:r w:rsidRPr="000912B6">
        <w:t>atum, vrijeme i mjesto otvaranja ponuda</w:t>
      </w:r>
      <w:bookmarkEnd w:id="107"/>
    </w:p>
    <w:p w14:paraId="249227AF" w14:textId="2E607EA0"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dateFormat w:val="dddd, d. MMMM yyyy."/>
            <w:lid w:val="hr-HR"/>
            <w:storeMappedDataAs w:val="dateTime"/>
            <w:calendar w:val="gregorian"/>
          </w:date>
        </w:sdtPr>
        <w:sdtEndPr/>
        <w:sdtContent>
          <w:r w:rsidR="00C323E6">
            <w:rPr>
              <w:b/>
              <w:bCs/>
            </w:rPr>
            <w:t>petak, 11. travnja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FF7F45">
            <w:rPr>
              <w:b/>
              <w:bCs/>
            </w:rPr>
            <w:t>2</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xml:space="preserve">. </w:t>
    </w:r>
    <w:proofErr w:type="spellStart"/>
    <w:r w:rsidRPr="006841E4">
      <w:rPr>
        <w:rFonts w:ascii="Calibri" w:eastAsia="Calibri" w:hAnsi="Calibri" w:cs="Calibri"/>
        <w:i/>
        <w:iCs/>
        <w:szCs w:val="20"/>
      </w:rPr>
      <w:t>oec</w:t>
    </w:r>
    <w:proofErr w:type="spellEnd"/>
    <w:r w:rsidRPr="006841E4">
      <w:rPr>
        <w:rFonts w:ascii="Calibri" w:eastAsia="Calibri" w:hAnsi="Calibri" w:cs="Calibri"/>
        <w:i/>
        <w:iCs/>
        <w:szCs w:val="20"/>
      </w:rPr>
      <w:t>.</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F80F30"/>
    <w:multiLevelType w:val="hybridMultilevel"/>
    <w:tmpl w:val="915C19E0"/>
    <w:lvl w:ilvl="0" w:tplc="F77CEE04">
      <w:numFmt w:val="bullet"/>
      <w:lvlText w:val="-"/>
      <w:lvlJc w:val="left"/>
      <w:pPr>
        <w:ind w:left="720" w:hanging="360"/>
      </w:pPr>
      <w:rPr>
        <w:rFonts w:ascii="Arial" w:eastAsia="Calibri"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E32257"/>
    <w:multiLevelType w:val="hybridMultilevel"/>
    <w:tmpl w:val="928C6C4A"/>
    <w:lvl w:ilvl="0" w:tplc="4BCC58F2">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0"/>
  </w:num>
  <w:num w:numId="5" w16cid:durableId="608582274">
    <w:abstractNumId w:val="14"/>
  </w:num>
  <w:num w:numId="6" w16cid:durableId="722338910">
    <w:abstractNumId w:val="6"/>
  </w:num>
  <w:num w:numId="7" w16cid:durableId="1726101984">
    <w:abstractNumId w:val="25"/>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8"/>
  </w:num>
  <w:num w:numId="15" w16cid:durableId="1370184280">
    <w:abstractNumId w:val="12"/>
  </w:num>
  <w:num w:numId="16" w16cid:durableId="1642609385">
    <w:abstractNumId w:val="17"/>
  </w:num>
  <w:num w:numId="17" w16cid:durableId="107818277">
    <w:abstractNumId w:val="27"/>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31"/>
  </w:num>
  <w:num w:numId="23" w16cid:durableId="1911646869">
    <w:abstractNumId w:val="24"/>
  </w:num>
  <w:num w:numId="24" w16cid:durableId="1609770728">
    <w:abstractNumId w:val="2"/>
  </w:num>
  <w:num w:numId="25" w16cid:durableId="1479376473">
    <w:abstractNumId w:val="0"/>
  </w:num>
  <w:num w:numId="26" w16cid:durableId="1519391551">
    <w:abstractNumId w:val="29"/>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 w:numId="32" w16cid:durableId="465897017">
    <w:abstractNumId w:val="23"/>
  </w:num>
  <w:num w:numId="33" w16cid:durableId="152667379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2F4A"/>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5424"/>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03D"/>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292D"/>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252C"/>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1FE"/>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140"/>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6CCB"/>
    <w:rsid w:val="00C27949"/>
    <w:rsid w:val="00C27D2A"/>
    <w:rsid w:val="00C27E17"/>
    <w:rsid w:val="00C27E54"/>
    <w:rsid w:val="00C3046A"/>
    <w:rsid w:val="00C3084E"/>
    <w:rsid w:val="00C31458"/>
    <w:rsid w:val="00C323E6"/>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5F1"/>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A7B2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8D2"/>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8A3"/>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77C40"/>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3F66"/>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 w:val="00FF7F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oreta.pikunic@bolnica-zadar.hr" TargetMode="Externa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maja.birkic@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eader" Target="head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50603D"/>
    <w:rsid w:val="007F292D"/>
    <w:rsid w:val="008C574C"/>
    <w:rsid w:val="008D4F50"/>
    <w:rsid w:val="00A95F99"/>
    <w:rsid w:val="00AC71FE"/>
    <w:rsid w:val="00BE211F"/>
    <w:rsid w:val="00E43F66"/>
    <w:rsid w:val="00EE7AFF"/>
    <w:rsid w:val="00F502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95F9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11</Pages>
  <Words>4370</Words>
  <Characters>24909</Characters>
  <Application>Microsoft Office Word</Application>
  <DocSecurity>0</DocSecurity>
  <Lines>207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266</cp:revision>
  <cp:lastPrinted>2023-03-28T10:20:00Z</cp:lastPrinted>
  <dcterms:created xsi:type="dcterms:W3CDTF">2023-11-08T12:24:00Z</dcterms:created>
  <dcterms:modified xsi:type="dcterms:W3CDTF">2025-04-08T11:35:00Z</dcterms:modified>
</cp:coreProperties>
</file>