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630617BB" w:rsidR="00C2020C" w:rsidRPr="007713EA" w:rsidRDefault="00CC7191" w:rsidP="00C30045">
                <w:pPr>
                  <w:jc w:val="center"/>
                </w:pPr>
                <w:r w:rsidRPr="00CC7191">
                  <w:rPr>
                    <w:sz w:val="22"/>
                  </w:rPr>
                  <w:t>Nabava farmaceutskih hladnjaka za čuvanje lijekova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5E6EAAF8" w:rsidR="00C2020C" w:rsidRPr="0021412C" w:rsidRDefault="00CC7191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70-JN-24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CC719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CC719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CC719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CC719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CC719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CC719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CC719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CC719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CC719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CC719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CC719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CC719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CC719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CC719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CC7191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CC719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CC719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CC719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CC719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CC719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CC719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CC719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CC719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CC719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CC719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CC719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CC719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CC719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CC719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CC719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CC719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7191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5</cp:revision>
  <cp:lastPrinted>2015-10-30T13:45:00Z</cp:lastPrinted>
  <dcterms:created xsi:type="dcterms:W3CDTF">2023-11-09T07:32:00Z</dcterms:created>
  <dcterms:modified xsi:type="dcterms:W3CDTF">2024-02-12T10:24:00Z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