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F30" w:rsidRPr="0071489E" w:rsidRDefault="00D75FFC" w:rsidP="00375A1E">
      <w:pPr>
        <w:tabs>
          <w:tab w:val="right" w:pos="3261"/>
          <w:tab w:val="left" w:pos="5529"/>
        </w:tabs>
        <w:rPr>
          <w:rFonts w:ascii="Times New Roman" w:hAnsi="Times New Roman"/>
          <w:b/>
          <w:szCs w:val="24"/>
          <w:lang w:eastAsia="en-US"/>
        </w:rPr>
      </w:pPr>
      <w:r w:rsidRPr="00D75FFC">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1B0E28" w:rsidRDefault="001B0E28"/>
              </w:txbxContent>
            </v:textbox>
          </v:shape>
        </w:pict>
      </w:r>
      <w:r w:rsidR="006C5F30" w:rsidRPr="0071489E">
        <w:rPr>
          <w:rFonts w:ascii="Times New Roman" w:hAnsi="Times New Roman"/>
          <w:b/>
          <w:szCs w:val="24"/>
        </w:rPr>
        <w:t>Zadar</w:t>
      </w:r>
      <w:r w:rsidR="006C5F30" w:rsidRPr="007C46B7">
        <w:rPr>
          <w:rFonts w:ascii="Times New Roman" w:hAnsi="Times New Roman"/>
          <w:b/>
          <w:szCs w:val="24"/>
        </w:rPr>
        <w:t xml:space="preserve">, </w:t>
      </w:r>
      <w:r w:rsidR="00D7307B">
        <w:rPr>
          <w:rFonts w:ascii="Times New Roman" w:hAnsi="Times New Roman"/>
          <w:b/>
          <w:szCs w:val="24"/>
        </w:rPr>
        <w:t>2</w:t>
      </w:r>
      <w:r w:rsidR="001B0E28">
        <w:rPr>
          <w:rFonts w:ascii="Times New Roman" w:hAnsi="Times New Roman"/>
          <w:b/>
          <w:szCs w:val="24"/>
        </w:rPr>
        <w:t>4</w:t>
      </w:r>
      <w:r w:rsidR="008269CB" w:rsidRPr="007C46B7">
        <w:rPr>
          <w:rFonts w:ascii="Times New Roman" w:hAnsi="Times New Roman"/>
          <w:b/>
          <w:szCs w:val="24"/>
        </w:rPr>
        <w:t>.</w:t>
      </w:r>
      <w:r w:rsidR="00E175B3">
        <w:rPr>
          <w:rFonts w:ascii="Times New Roman" w:hAnsi="Times New Roman"/>
          <w:b/>
          <w:szCs w:val="24"/>
        </w:rPr>
        <w:t>0</w:t>
      </w:r>
      <w:r w:rsidR="001B0E28">
        <w:rPr>
          <w:rFonts w:ascii="Times New Roman" w:hAnsi="Times New Roman"/>
          <w:b/>
          <w:szCs w:val="24"/>
        </w:rPr>
        <w:t>8</w:t>
      </w:r>
      <w:r w:rsidR="008269CB" w:rsidRPr="007C46B7">
        <w:rPr>
          <w:rFonts w:ascii="Times New Roman" w:hAnsi="Times New Roman"/>
          <w:b/>
          <w:szCs w:val="24"/>
        </w:rPr>
        <w:t>.</w:t>
      </w:r>
      <w:r w:rsidR="006C5F30" w:rsidRPr="007C46B7">
        <w:rPr>
          <w:rFonts w:ascii="Times New Roman" w:hAnsi="Times New Roman"/>
          <w:b/>
          <w:szCs w:val="24"/>
        </w:rPr>
        <w:t>20</w:t>
      </w:r>
      <w:r w:rsidR="00AA64C1" w:rsidRPr="007C46B7">
        <w:rPr>
          <w:rFonts w:ascii="Times New Roman" w:hAnsi="Times New Roman"/>
          <w:b/>
          <w:szCs w:val="24"/>
        </w:rPr>
        <w:t>2</w:t>
      </w:r>
      <w:r w:rsidR="00E175B3">
        <w:rPr>
          <w:rFonts w:ascii="Times New Roman" w:hAnsi="Times New Roman"/>
          <w:b/>
          <w:szCs w:val="24"/>
        </w:rPr>
        <w:t>2</w:t>
      </w:r>
      <w:r w:rsidR="006C5F30" w:rsidRPr="007C46B7">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71489E">
        <w:rPr>
          <w:rFonts w:ascii="Times New Roman" w:hAnsi="Times New Roman"/>
          <w:b/>
          <w:szCs w:val="24"/>
        </w:rPr>
        <w:t xml:space="preserve">URBROJ: </w:t>
      </w:r>
      <w:r w:rsidR="00D7307B" w:rsidRPr="00D7307B">
        <w:rPr>
          <w:rFonts w:ascii="Times New Roman" w:hAnsi="Times New Roman"/>
          <w:b/>
          <w:szCs w:val="24"/>
        </w:rPr>
        <w:t>04-4897/22-2/22</w:t>
      </w:r>
    </w:p>
    <w:p w:rsidR="00DB2F23" w:rsidRPr="00086843" w:rsidRDefault="00DB2F23" w:rsidP="00DB2F23">
      <w:pPr>
        <w:tabs>
          <w:tab w:val="left" w:pos="5954"/>
        </w:tabs>
        <w:rPr>
          <w:rFonts w:ascii="Times New Roman" w:hAnsi="Times New Roman"/>
          <w:b/>
          <w:szCs w:val="24"/>
        </w:rPr>
      </w:pPr>
    </w:p>
    <w:p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rsidR="00147EC3" w:rsidRDefault="00147EC3" w:rsidP="00080951">
      <w:pPr>
        <w:autoSpaceDE w:val="0"/>
        <w:autoSpaceDN w:val="0"/>
        <w:adjustRightInd w:val="0"/>
        <w:rPr>
          <w:rFonts w:ascii="Times New Roman" w:hAnsi="Times New Roman"/>
          <w:sz w:val="22"/>
          <w:szCs w:val="22"/>
          <w:highlight w:val="yellow"/>
        </w:rPr>
      </w:pPr>
    </w:p>
    <w:p w:rsidR="00147EC3" w:rsidRDefault="00147EC3" w:rsidP="00080951">
      <w:pPr>
        <w:autoSpaceDE w:val="0"/>
        <w:autoSpaceDN w:val="0"/>
        <w:adjustRightInd w:val="0"/>
        <w:rPr>
          <w:rFonts w:ascii="Times New Roman" w:hAnsi="Times New Roman"/>
          <w:sz w:val="22"/>
          <w:szCs w:val="22"/>
          <w:highlight w:val="yellow"/>
        </w:rPr>
      </w:pPr>
    </w:p>
    <w:p w:rsidR="0008095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rsidR="00D7307B" w:rsidRPr="006922B1" w:rsidRDefault="00D7307B" w:rsidP="00080951">
      <w:pPr>
        <w:autoSpaceDE w:val="0"/>
        <w:autoSpaceDN w:val="0"/>
        <w:adjustRightInd w:val="0"/>
        <w:rPr>
          <w:rFonts w:ascii="Times New Roman" w:hAnsi="Times New Roman"/>
          <w:sz w:val="22"/>
          <w:szCs w:val="22"/>
          <w:highlight w:val="yellow"/>
        </w:rPr>
      </w:pPr>
    </w:p>
    <w:p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105F7A" w:rsidRDefault="00105F7A" w:rsidP="00105F7A">
      <w:pPr>
        <w:jc w:val="center"/>
        <w:rPr>
          <w:rFonts w:ascii="Times New Roman" w:hAnsi="Times New Roman"/>
          <w:b/>
          <w:sz w:val="32"/>
          <w:szCs w:val="32"/>
        </w:rPr>
      </w:pPr>
    </w:p>
    <w:p w:rsidR="00E175B3" w:rsidRDefault="00D7307B" w:rsidP="00E175B3">
      <w:pPr>
        <w:jc w:val="center"/>
        <w:rPr>
          <w:rFonts w:ascii="Times New Roman" w:hAnsi="Times New Roman"/>
          <w:b/>
          <w:bCs/>
          <w:sz w:val="32"/>
          <w:szCs w:val="32"/>
        </w:rPr>
      </w:pPr>
      <w:r w:rsidRPr="00D7307B">
        <w:rPr>
          <w:rFonts w:ascii="Times New Roman" w:hAnsi="Times New Roman"/>
          <w:b/>
          <w:bCs/>
          <w:sz w:val="32"/>
          <w:szCs w:val="32"/>
        </w:rPr>
        <w:t>Projekt prilagodbe i nadogradnje iBIS-a za uvo</w:t>
      </w:r>
      <w:r w:rsidRPr="00D7307B">
        <w:rPr>
          <w:rFonts w:ascii="Times New Roman" w:hAnsi="Times New Roman" w:hint="eastAsia"/>
          <w:b/>
          <w:bCs/>
          <w:sz w:val="32"/>
          <w:szCs w:val="32"/>
        </w:rPr>
        <w:t>đ</w:t>
      </w:r>
      <w:r w:rsidRPr="00D7307B">
        <w:rPr>
          <w:rFonts w:ascii="Times New Roman" w:hAnsi="Times New Roman"/>
          <w:b/>
          <w:bCs/>
          <w:sz w:val="32"/>
          <w:szCs w:val="32"/>
        </w:rPr>
        <w:t>enje EUR-a kao slu</w:t>
      </w:r>
      <w:r w:rsidRPr="00D7307B">
        <w:rPr>
          <w:rFonts w:ascii="Times New Roman" w:hAnsi="Times New Roman" w:hint="eastAsia"/>
          <w:b/>
          <w:bCs/>
          <w:sz w:val="32"/>
          <w:szCs w:val="32"/>
        </w:rPr>
        <w:t>ž</w:t>
      </w:r>
      <w:r w:rsidRPr="00D7307B">
        <w:rPr>
          <w:rFonts w:ascii="Times New Roman" w:hAnsi="Times New Roman"/>
          <w:b/>
          <w:bCs/>
          <w:sz w:val="32"/>
          <w:szCs w:val="32"/>
        </w:rPr>
        <w:t>bene nacionalne valute</w:t>
      </w:r>
    </w:p>
    <w:p w:rsidR="00D7307B" w:rsidRDefault="00D7307B" w:rsidP="00E175B3">
      <w:pPr>
        <w:jc w:val="center"/>
        <w:rPr>
          <w:rFonts w:ascii="Times New Roman" w:hAnsi="Times New Roman"/>
          <w:b/>
          <w:bCs/>
          <w:sz w:val="32"/>
          <w:szCs w:val="32"/>
        </w:rPr>
      </w:pPr>
    </w:p>
    <w:p w:rsidR="00D7307B" w:rsidRDefault="00D7307B" w:rsidP="008B7108">
      <w:pPr>
        <w:rPr>
          <w:rFonts w:ascii="Times New Roman" w:hAnsi="Times New Roman"/>
          <w:sz w:val="22"/>
          <w:szCs w:val="22"/>
        </w:rPr>
      </w:pPr>
    </w:p>
    <w:p w:rsidR="00D7307B" w:rsidRDefault="00D7307B" w:rsidP="008B7108">
      <w:pPr>
        <w:rPr>
          <w:rFonts w:ascii="Times New Roman" w:hAnsi="Times New Roman"/>
          <w:sz w:val="22"/>
          <w:szCs w:val="22"/>
        </w:rPr>
      </w:pPr>
    </w:p>
    <w:p w:rsidR="00D7307B" w:rsidRDefault="00D7307B" w:rsidP="008B7108">
      <w:pPr>
        <w:rPr>
          <w:rFonts w:ascii="Times New Roman" w:hAnsi="Times New Roman"/>
          <w:sz w:val="22"/>
          <w:szCs w:val="22"/>
        </w:rPr>
      </w:pPr>
    </w:p>
    <w:p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rsidR="00A14DEA" w:rsidRPr="00086843" w:rsidRDefault="00A14DEA" w:rsidP="008B7108">
      <w:pPr>
        <w:rPr>
          <w:rFonts w:ascii="Times New Roman" w:hAnsi="Times New Roman"/>
          <w:sz w:val="22"/>
          <w:szCs w:val="22"/>
        </w:rPr>
      </w:pPr>
    </w:p>
    <w:p w:rsidR="00734CA3" w:rsidRDefault="00734CA3" w:rsidP="008B7108">
      <w:pPr>
        <w:jc w:val="both"/>
        <w:rPr>
          <w:rFonts w:ascii="Times New Roman" w:hAnsi="Times New Roman"/>
          <w:b/>
        </w:rPr>
      </w:pPr>
    </w:p>
    <w:p w:rsidR="00734CA3" w:rsidRDefault="00734CA3" w:rsidP="008B7108">
      <w:pPr>
        <w:jc w:val="both"/>
        <w:rPr>
          <w:rFonts w:ascii="Times New Roman" w:hAnsi="Times New Roman"/>
          <w:sz w:val="22"/>
          <w:szCs w:val="22"/>
        </w:rPr>
      </w:pPr>
      <w:r w:rsidRPr="00734CA3">
        <w:rPr>
          <w:rFonts w:ascii="Times New Roman" w:hAnsi="Times New Roman"/>
          <w:sz w:val="22"/>
          <w:szCs w:val="22"/>
        </w:rPr>
        <w:t xml:space="preserve">Sukladno </w:t>
      </w:r>
      <w:r w:rsidRPr="00734CA3">
        <w:rPr>
          <w:rFonts w:ascii="Times New Roman" w:hAnsi="Times New Roman" w:hint="eastAsia"/>
          <w:sz w:val="22"/>
          <w:szCs w:val="22"/>
        </w:rPr>
        <w:t>č</w:t>
      </w:r>
      <w:r w:rsidRPr="00734CA3">
        <w:rPr>
          <w:rFonts w:ascii="Times New Roman" w:hAnsi="Times New Roman"/>
          <w:sz w:val="22"/>
          <w:szCs w:val="22"/>
        </w:rPr>
        <w:t>lanku 12.i 15.</w:t>
      </w:r>
      <w:r>
        <w:rPr>
          <w:rFonts w:ascii="Times New Roman" w:hAnsi="Times New Roman"/>
          <w:sz w:val="22"/>
          <w:szCs w:val="22"/>
        </w:rPr>
        <w:t xml:space="preserve"> </w:t>
      </w:r>
      <w:r w:rsidRPr="00734CA3">
        <w:rPr>
          <w:rFonts w:ascii="Times New Roman" w:hAnsi="Times New Roman"/>
          <w:sz w:val="22"/>
          <w:szCs w:val="22"/>
        </w:rPr>
        <w:t>Zakona o javnoj nabavi (NN br.120/16) za godi</w:t>
      </w:r>
      <w:r w:rsidRPr="00734CA3">
        <w:rPr>
          <w:rFonts w:ascii="Times New Roman" w:hAnsi="Times New Roman" w:hint="eastAsia"/>
          <w:sz w:val="22"/>
          <w:szCs w:val="22"/>
        </w:rPr>
        <w:t>š</w:t>
      </w:r>
      <w:r w:rsidRPr="00734CA3">
        <w:rPr>
          <w:rFonts w:ascii="Times New Roman" w:hAnsi="Times New Roman"/>
          <w:sz w:val="22"/>
          <w:szCs w:val="22"/>
        </w:rPr>
        <w:t>nju procijenjenu vrijednost nabave iz Plana nabave manju od 200.000 kuna za robu,usluge i projektne natje</w:t>
      </w:r>
      <w:r w:rsidRPr="00734CA3">
        <w:rPr>
          <w:rFonts w:ascii="Times New Roman" w:hAnsi="Times New Roman" w:hint="eastAsia"/>
          <w:sz w:val="22"/>
          <w:szCs w:val="22"/>
        </w:rPr>
        <w:t>č</w:t>
      </w:r>
      <w:r w:rsidRPr="00734CA3">
        <w:rPr>
          <w:rFonts w:ascii="Times New Roman" w:hAnsi="Times New Roman"/>
          <w:sz w:val="22"/>
          <w:szCs w:val="22"/>
        </w:rPr>
        <w:t>aje i za radove manju od 500.000 kuna  (jednostavnu nabavu) Naru</w:t>
      </w:r>
      <w:r w:rsidRPr="00734CA3">
        <w:rPr>
          <w:rFonts w:ascii="Times New Roman" w:hAnsi="Times New Roman" w:hint="eastAsia"/>
          <w:sz w:val="22"/>
          <w:szCs w:val="22"/>
        </w:rPr>
        <w:t>č</w:t>
      </w:r>
      <w:r w:rsidRPr="00734CA3">
        <w:rPr>
          <w:rFonts w:ascii="Times New Roman" w:hAnsi="Times New Roman"/>
          <w:sz w:val="22"/>
          <w:szCs w:val="22"/>
        </w:rPr>
        <w:t>itelj nije obvezan provoditi postupke javne nabave propisane Zakonom o javnoj nabavi.</w:t>
      </w:r>
    </w:p>
    <w:p w:rsidR="00734CA3" w:rsidRPr="00734CA3" w:rsidRDefault="00734CA3" w:rsidP="008B7108">
      <w:pPr>
        <w:jc w:val="both"/>
        <w:rPr>
          <w:rFonts w:ascii="Times New Roman" w:hAnsi="Times New Roman"/>
          <w:sz w:val="22"/>
          <w:szCs w:val="22"/>
        </w:rPr>
      </w:pPr>
    </w:p>
    <w:p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A14DEA" w:rsidRPr="00086843" w:rsidRDefault="00A14DEA" w:rsidP="008B7108">
      <w:pPr>
        <w:jc w:val="both"/>
        <w:rPr>
          <w:rFonts w:ascii="Times New Roman" w:hAnsi="Times New Roman"/>
          <w:sz w:val="22"/>
          <w:szCs w:val="22"/>
        </w:rPr>
      </w:pPr>
    </w:p>
    <w:p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F0373C">
        <w:rPr>
          <w:rFonts w:ascii="Times New Roman" w:hAnsi="Times New Roman"/>
          <w:sz w:val="22"/>
          <w:szCs w:val="22"/>
        </w:rPr>
        <w:t>do</w:t>
      </w:r>
      <w:r w:rsidR="006C5F30" w:rsidRPr="00F0373C">
        <w:rPr>
          <w:rFonts w:ascii="Times New Roman" w:hAnsi="Times New Roman"/>
          <w:sz w:val="22"/>
          <w:szCs w:val="22"/>
        </w:rPr>
        <w:t xml:space="preserve"> </w:t>
      </w:r>
      <w:r w:rsidR="00362ECC" w:rsidRPr="00F0373C">
        <w:rPr>
          <w:rFonts w:ascii="Times New Roman" w:hAnsi="Times New Roman"/>
          <w:b/>
          <w:sz w:val="22"/>
          <w:szCs w:val="22"/>
          <w:u w:val="single"/>
        </w:rPr>
        <w:t>2</w:t>
      </w:r>
      <w:r w:rsidR="001B0E28" w:rsidRPr="00F0373C">
        <w:rPr>
          <w:rFonts w:ascii="Times New Roman" w:hAnsi="Times New Roman"/>
          <w:b/>
          <w:sz w:val="22"/>
          <w:szCs w:val="22"/>
          <w:u w:val="single"/>
        </w:rPr>
        <w:t>6</w:t>
      </w:r>
      <w:r w:rsidR="005252C9" w:rsidRPr="00F0373C">
        <w:rPr>
          <w:rFonts w:ascii="Times New Roman" w:hAnsi="Times New Roman"/>
          <w:b/>
          <w:sz w:val="22"/>
          <w:szCs w:val="22"/>
          <w:u w:val="single"/>
        </w:rPr>
        <w:t>.</w:t>
      </w:r>
      <w:r w:rsidR="00E175B3" w:rsidRPr="00F0373C">
        <w:rPr>
          <w:rFonts w:ascii="Times New Roman" w:hAnsi="Times New Roman"/>
          <w:b/>
          <w:sz w:val="22"/>
          <w:szCs w:val="22"/>
          <w:u w:val="single"/>
        </w:rPr>
        <w:t>0</w:t>
      </w:r>
      <w:r w:rsidR="001B0E28" w:rsidRPr="00F0373C">
        <w:rPr>
          <w:rFonts w:ascii="Times New Roman" w:hAnsi="Times New Roman"/>
          <w:b/>
          <w:sz w:val="22"/>
          <w:szCs w:val="22"/>
          <w:u w:val="single"/>
        </w:rPr>
        <w:t>8</w:t>
      </w:r>
      <w:r w:rsidR="00FA4378" w:rsidRPr="00F0373C">
        <w:rPr>
          <w:rFonts w:ascii="Times New Roman" w:hAnsi="Times New Roman"/>
          <w:b/>
          <w:sz w:val="22"/>
          <w:szCs w:val="22"/>
          <w:u w:val="single"/>
        </w:rPr>
        <w:t>.20</w:t>
      </w:r>
      <w:r w:rsidR="00AA64C1" w:rsidRPr="00F0373C">
        <w:rPr>
          <w:rFonts w:ascii="Times New Roman" w:hAnsi="Times New Roman"/>
          <w:b/>
          <w:sz w:val="22"/>
          <w:szCs w:val="22"/>
          <w:u w:val="single"/>
        </w:rPr>
        <w:t>2</w:t>
      </w:r>
      <w:r w:rsidR="00E175B3" w:rsidRPr="00F0373C">
        <w:rPr>
          <w:rFonts w:ascii="Times New Roman" w:hAnsi="Times New Roman"/>
          <w:b/>
          <w:sz w:val="22"/>
          <w:szCs w:val="22"/>
          <w:u w:val="single"/>
        </w:rPr>
        <w:t>2</w:t>
      </w:r>
      <w:r w:rsidR="005252C9" w:rsidRPr="00F0373C">
        <w:rPr>
          <w:rFonts w:ascii="Times New Roman" w:hAnsi="Times New Roman"/>
          <w:b/>
          <w:sz w:val="22"/>
          <w:szCs w:val="22"/>
          <w:u w:val="single"/>
        </w:rPr>
        <w:t xml:space="preserve">. </w:t>
      </w:r>
      <w:r w:rsidR="00C031BB" w:rsidRPr="00F0373C">
        <w:rPr>
          <w:rFonts w:ascii="Times New Roman" w:hAnsi="Times New Roman"/>
          <w:sz w:val="22"/>
          <w:szCs w:val="22"/>
        </w:rPr>
        <w:t>g</w:t>
      </w:r>
      <w:r w:rsidRPr="00F0373C">
        <w:rPr>
          <w:rFonts w:ascii="Times New Roman" w:hAnsi="Times New Roman"/>
          <w:sz w:val="22"/>
          <w:szCs w:val="22"/>
        </w:rPr>
        <w:t>odine</w:t>
      </w:r>
      <w:r w:rsidR="00A536C7" w:rsidRPr="00F0373C">
        <w:rPr>
          <w:rFonts w:ascii="Times New Roman" w:hAnsi="Times New Roman"/>
          <w:sz w:val="22"/>
          <w:szCs w:val="22"/>
        </w:rPr>
        <w:t xml:space="preserve"> </w:t>
      </w:r>
      <w:r w:rsidRPr="00F0373C">
        <w:rPr>
          <w:rFonts w:ascii="Times New Roman" w:hAnsi="Times New Roman"/>
          <w:sz w:val="22"/>
          <w:szCs w:val="22"/>
        </w:rPr>
        <w:t>do</w:t>
      </w:r>
      <w:r w:rsidR="00A536C7" w:rsidRPr="00F0373C">
        <w:rPr>
          <w:rFonts w:ascii="Times New Roman" w:hAnsi="Times New Roman"/>
          <w:sz w:val="22"/>
          <w:szCs w:val="22"/>
        </w:rPr>
        <w:t xml:space="preserve"> </w:t>
      </w:r>
      <w:r w:rsidR="007B0F0E" w:rsidRPr="00F0373C">
        <w:rPr>
          <w:rFonts w:ascii="Times New Roman" w:hAnsi="Times New Roman"/>
          <w:b/>
          <w:sz w:val="22"/>
          <w:szCs w:val="22"/>
          <w:u w:val="single"/>
        </w:rPr>
        <w:t>12</w:t>
      </w:r>
      <w:r w:rsidR="00A536C7" w:rsidRPr="00F0373C">
        <w:rPr>
          <w:rFonts w:ascii="Times New Roman" w:hAnsi="Times New Roman"/>
          <w:b/>
          <w:sz w:val="22"/>
          <w:szCs w:val="22"/>
          <w:u w:val="single"/>
        </w:rPr>
        <w:t>:</w:t>
      </w:r>
      <w:r w:rsidR="00E96CAF" w:rsidRPr="00F0373C">
        <w:rPr>
          <w:rFonts w:ascii="Times New Roman" w:hAnsi="Times New Roman"/>
          <w:b/>
          <w:sz w:val="22"/>
          <w:szCs w:val="22"/>
          <w:u w:val="single"/>
        </w:rPr>
        <w:t>0</w:t>
      </w:r>
      <w:r w:rsidR="00A536C7" w:rsidRPr="00F0373C">
        <w:rPr>
          <w:rFonts w:ascii="Times New Roman" w:hAnsi="Times New Roman"/>
          <w:b/>
          <w:sz w:val="22"/>
          <w:szCs w:val="22"/>
          <w:u w:val="single"/>
        </w:rPr>
        <w:t>0</w:t>
      </w:r>
      <w:r w:rsidR="00A536C7" w:rsidRPr="00F0373C">
        <w:rPr>
          <w:rFonts w:ascii="Times New Roman" w:hAnsi="Times New Roman"/>
          <w:sz w:val="22"/>
          <w:szCs w:val="22"/>
        </w:rPr>
        <w:t xml:space="preserve"> </w:t>
      </w:r>
      <w:r w:rsidRPr="00F0373C">
        <w:rPr>
          <w:rFonts w:ascii="Times New Roman" w:hAnsi="Times New Roman"/>
          <w:sz w:val="22"/>
          <w:szCs w:val="22"/>
        </w:rPr>
        <w:t>sati na</w:t>
      </w:r>
      <w:r w:rsidRPr="00086843">
        <w:rPr>
          <w:rFonts w:ascii="Times New Roman" w:hAnsi="Times New Roman"/>
          <w:sz w:val="22"/>
          <w:szCs w:val="22"/>
        </w:rPr>
        <w:t xml:space="preserve"> adresu:</w:t>
      </w:r>
      <w:r w:rsidRPr="00086843">
        <w:rPr>
          <w:rFonts w:ascii="Times New Roman" w:hAnsi="Times New Roman"/>
          <w:color w:val="000000"/>
          <w:sz w:val="22"/>
          <w:szCs w:val="22"/>
        </w:rPr>
        <w:t xml:space="preserve"> </w:t>
      </w:r>
    </w:p>
    <w:p w:rsidR="00E175B3" w:rsidRPr="00993834" w:rsidRDefault="00E175B3" w:rsidP="00E175B3">
      <w:pPr>
        <w:pBdr>
          <w:left w:val="single" w:sz="4" w:space="0" w:color="auto"/>
        </w:pBdr>
        <w:tabs>
          <w:tab w:val="left" w:pos="357"/>
        </w:tabs>
        <w:jc w:val="both"/>
        <w:rPr>
          <w:rFonts w:ascii="Times New Roman" w:hAnsi="Times New Roman"/>
          <w:b/>
          <w:color w:val="0070C0"/>
          <w:sz w:val="28"/>
          <w:szCs w:val="28"/>
          <w:u w:val="single"/>
        </w:rPr>
      </w:pPr>
      <w:r w:rsidRPr="00993834">
        <w:rPr>
          <w:rFonts w:ascii="Times New Roman" w:hAnsi="Times New Roman"/>
          <w:b/>
          <w:bCs/>
          <w:color w:val="0070C0"/>
          <w:sz w:val="28"/>
          <w:szCs w:val="28"/>
          <w:u w:val="single"/>
        </w:rPr>
        <w:t>nino.funcic@zd.t-com.hr</w:t>
      </w:r>
      <w:r w:rsidRPr="00993834">
        <w:rPr>
          <w:rFonts w:ascii="Times New Roman" w:hAnsi="Times New Roman"/>
          <w:color w:val="0070C0"/>
          <w:sz w:val="28"/>
          <w:szCs w:val="28"/>
          <w:u w:val="single"/>
        </w:rPr>
        <w:t xml:space="preserve"> </w:t>
      </w:r>
    </w:p>
    <w:p w:rsidR="00E175B3" w:rsidRDefault="00E175B3" w:rsidP="00E175B3">
      <w:pPr>
        <w:pBdr>
          <w:left w:val="single" w:sz="4" w:space="0" w:color="auto"/>
        </w:pBdr>
        <w:tabs>
          <w:tab w:val="left" w:pos="357"/>
        </w:tabs>
        <w:jc w:val="both"/>
        <w:rPr>
          <w:rFonts w:ascii="Times New Roman" w:hAnsi="Times New Roman"/>
          <w:b/>
          <w:sz w:val="22"/>
          <w:szCs w:val="22"/>
        </w:rPr>
      </w:pPr>
    </w:p>
    <w:p w:rsidR="00E175B3" w:rsidRPr="003B4BC9" w:rsidRDefault="00E175B3" w:rsidP="00E175B3">
      <w:pPr>
        <w:pBdr>
          <w:left w:val="single" w:sz="4" w:space="0" w:color="auto"/>
        </w:pBdr>
        <w:tabs>
          <w:tab w:val="left" w:pos="357"/>
        </w:tabs>
        <w:jc w:val="both"/>
        <w:rPr>
          <w:rFonts w:ascii="Times New Roman" w:hAnsi="Times New Roman"/>
          <w:sz w:val="22"/>
          <w:szCs w:val="22"/>
        </w:rPr>
      </w:pPr>
      <w:r w:rsidRPr="003B4BC9">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DE2E99" w:rsidRDefault="00DE2E99"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E96CAF" w:rsidRDefault="00E96CAF" w:rsidP="008B7108">
      <w:pPr>
        <w:pStyle w:val="PlainText"/>
        <w:rPr>
          <w:rFonts w:ascii="Times New Roman" w:hAnsi="Times New Roman"/>
          <w:b/>
          <w:sz w:val="24"/>
          <w:szCs w:val="24"/>
        </w:rPr>
      </w:pPr>
    </w:p>
    <w:p w:rsidR="00D7307B" w:rsidRDefault="00D7307B" w:rsidP="008B7108">
      <w:pPr>
        <w:pStyle w:val="PlainText"/>
        <w:rPr>
          <w:rFonts w:ascii="Times New Roman" w:hAnsi="Times New Roman"/>
          <w:b/>
          <w:sz w:val="24"/>
          <w:szCs w:val="24"/>
        </w:rPr>
      </w:pPr>
    </w:p>
    <w:p w:rsidR="00D7307B" w:rsidRDefault="00D7307B" w:rsidP="008B7108">
      <w:pPr>
        <w:pStyle w:val="PlainText"/>
        <w:rPr>
          <w:rFonts w:ascii="Times New Roman" w:hAnsi="Times New Roman"/>
          <w:b/>
          <w:sz w:val="24"/>
          <w:szCs w:val="24"/>
        </w:rPr>
      </w:pPr>
    </w:p>
    <w:p w:rsidR="00D7307B" w:rsidRDefault="00D7307B" w:rsidP="008B7108">
      <w:pPr>
        <w:pStyle w:val="PlainText"/>
        <w:rPr>
          <w:rFonts w:ascii="Times New Roman" w:hAnsi="Times New Roman"/>
          <w:b/>
          <w:sz w:val="24"/>
          <w:szCs w:val="24"/>
        </w:rPr>
      </w:pPr>
    </w:p>
    <w:p w:rsidR="00D7307B" w:rsidRDefault="00D7307B" w:rsidP="008B7108">
      <w:pPr>
        <w:pStyle w:val="PlainText"/>
        <w:rPr>
          <w:rFonts w:ascii="Times New Roman" w:hAnsi="Times New Roman"/>
          <w:b/>
          <w:sz w:val="24"/>
          <w:szCs w:val="24"/>
        </w:rPr>
      </w:pPr>
    </w:p>
    <w:p w:rsidR="00D7307B" w:rsidRDefault="00D7307B" w:rsidP="008B7108">
      <w:pPr>
        <w:pStyle w:val="PlainText"/>
        <w:rPr>
          <w:rFonts w:ascii="Times New Roman" w:hAnsi="Times New Roman"/>
          <w:b/>
          <w:sz w:val="24"/>
          <w:szCs w:val="24"/>
        </w:rPr>
      </w:pPr>
    </w:p>
    <w:p w:rsidR="00D7307B" w:rsidRDefault="00D7307B" w:rsidP="008B7108">
      <w:pPr>
        <w:pStyle w:val="PlainText"/>
        <w:rPr>
          <w:rFonts w:ascii="Times New Roman" w:hAnsi="Times New Roman"/>
          <w:b/>
          <w:sz w:val="24"/>
          <w:szCs w:val="24"/>
        </w:rPr>
      </w:pPr>
    </w:p>
    <w:p w:rsidR="00BB63AB" w:rsidRPr="0096330C" w:rsidRDefault="00BB63AB" w:rsidP="008B7108">
      <w:pPr>
        <w:pStyle w:val="PlainText"/>
        <w:rPr>
          <w:rFonts w:ascii="Times New Roman" w:hAnsi="Times New Roman"/>
          <w:b/>
          <w:sz w:val="24"/>
          <w:szCs w:val="24"/>
          <w:u w:val="single"/>
        </w:rPr>
      </w:pPr>
      <w:r w:rsidRPr="0096330C">
        <w:rPr>
          <w:rFonts w:ascii="Times New Roman" w:hAnsi="Times New Roman"/>
          <w:b/>
          <w:sz w:val="24"/>
          <w:szCs w:val="24"/>
          <w:u w:val="single"/>
        </w:rPr>
        <w:lastRenderedPageBreak/>
        <w:t>TROŠKOVNI</w:t>
      </w:r>
      <w:r w:rsidR="000D4D4A">
        <w:rPr>
          <w:rFonts w:ascii="Times New Roman" w:hAnsi="Times New Roman"/>
          <w:b/>
          <w:sz w:val="24"/>
          <w:szCs w:val="24"/>
          <w:u w:val="single"/>
        </w:rPr>
        <w:t>K</w:t>
      </w:r>
      <w:r w:rsidR="0096330C" w:rsidRPr="0096330C">
        <w:rPr>
          <w:rFonts w:ascii="Times New Roman" w:hAnsi="Times New Roman"/>
          <w:b/>
          <w:sz w:val="24"/>
          <w:szCs w:val="24"/>
          <w:u w:val="single"/>
        </w:rPr>
        <w:t>:</w:t>
      </w:r>
    </w:p>
    <w:p w:rsidR="00E96CAF" w:rsidRDefault="00E96CAF" w:rsidP="008B7108">
      <w:pPr>
        <w:rPr>
          <w:rFonts w:ascii="Times New Roman" w:hAnsi="Times New Roman"/>
          <w:b/>
          <w:bCs/>
          <w:szCs w:val="28"/>
        </w:rPr>
      </w:pPr>
    </w:p>
    <w:p w:rsidR="00E96CAF" w:rsidRDefault="00D7307B" w:rsidP="001B0E28">
      <w:pPr>
        <w:jc w:val="center"/>
        <w:rPr>
          <w:rFonts w:ascii="Times New Roman" w:hAnsi="Times New Roman"/>
          <w:b/>
          <w:bCs/>
          <w:sz w:val="32"/>
          <w:szCs w:val="32"/>
        </w:rPr>
      </w:pPr>
      <w:r w:rsidRPr="00D7307B">
        <w:rPr>
          <w:rFonts w:ascii="Times New Roman" w:hAnsi="Times New Roman"/>
          <w:b/>
          <w:bCs/>
          <w:sz w:val="32"/>
          <w:szCs w:val="32"/>
        </w:rPr>
        <w:t>Projekt prilagodbe i nadogradnje iBIS-a za uvo</w:t>
      </w:r>
      <w:r w:rsidRPr="00D7307B">
        <w:rPr>
          <w:rFonts w:ascii="Times New Roman" w:hAnsi="Times New Roman" w:hint="eastAsia"/>
          <w:b/>
          <w:bCs/>
          <w:sz w:val="32"/>
          <w:szCs w:val="32"/>
        </w:rPr>
        <w:t>đ</w:t>
      </w:r>
      <w:r w:rsidRPr="00D7307B">
        <w:rPr>
          <w:rFonts w:ascii="Times New Roman" w:hAnsi="Times New Roman"/>
          <w:b/>
          <w:bCs/>
          <w:sz w:val="32"/>
          <w:szCs w:val="32"/>
        </w:rPr>
        <w:t>enje EUR-a kao slu</w:t>
      </w:r>
      <w:r w:rsidRPr="00D7307B">
        <w:rPr>
          <w:rFonts w:ascii="Times New Roman" w:hAnsi="Times New Roman" w:hint="eastAsia"/>
          <w:b/>
          <w:bCs/>
          <w:sz w:val="32"/>
          <w:szCs w:val="32"/>
        </w:rPr>
        <w:t>ž</w:t>
      </w:r>
      <w:r w:rsidRPr="00D7307B">
        <w:rPr>
          <w:rFonts w:ascii="Times New Roman" w:hAnsi="Times New Roman"/>
          <w:b/>
          <w:bCs/>
          <w:sz w:val="32"/>
          <w:szCs w:val="32"/>
        </w:rPr>
        <w:t>bene nacionalne valute</w:t>
      </w:r>
    </w:p>
    <w:p w:rsidR="001B0E28" w:rsidRDefault="001B0E28" w:rsidP="008B7108">
      <w:pPr>
        <w:rPr>
          <w:rFonts w:ascii="Times New Roman" w:hAnsi="Times New Roman"/>
          <w:b/>
          <w:bCs/>
          <w:sz w:val="32"/>
          <w:szCs w:val="32"/>
        </w:rPr>
      </w:pPr>
    </w:p>
    <w:tbl>
      <w:tblPr>
        <w:tblW w:w="9740" w:type="dxa"/>
        <w:jc w:val="center"/>
        <w:tblLayout w:type="fixed"/>
        <w:tblLook w:val="04A0"/>
      </w:tblPr>
      <w:tblGrid>
        <w:gridCol w:w="5196"/>
        <w:gridCol w:w="851"/>
        <w:gridCol w:w="992"/>
        <w:gridCol w:w="1134"/>
        <w:gridCol w:w="1567"/>
      </w:tblGrid>
      <w:tr w:rsidR="00D7307B" w:rsidTr="00AC3C47">
        <w:trPr>
          <w:trHeight w:val="370"/>
          <w:jc w:val="center"/>
        </w:trPr>
        <w:tc>
          <w:tcPr>
            <w:tcW w:w="5196" w:type="dxa"/>
            <w:tcBorders>
              <w:top w:val="single" w:sz="4" w:space="0" w:color="000000"/>
              <w:left w:val="single" w:sz="4" w:space="0" w:color="000000"/>
              <w:bottom w:val="single" w:sz="4" w:space="0" w:color="000000"/>
              <w:right w:val="single" w:sz="4" w:space="0" w:color="000000"/>
            </w:tcBorders>
          </w:tcPr>
          <w:p w:rsidR="00D7307B" w:rsidRDefault="00D7307B" w:rsidP="001B0E28">
            <w:pPr>
              <w:rPr>
                <w:sz w:val="14"/>
                <w:szCs w:val="14"/>
              </w:rPr>
            </w:pPr>
          </w:p>
          <w:p w:rsidR="00D7307B" w:rsidRDefault="00D7307B" w:rsidP="00D7307B">
            <w:pPr>
              <w:jc w:val="center"/>
              <w:rPr>
                <w:b/>
              </w:rPr>
            </w:pPr>
            <w:r>
              <w:rPr>
                <w:b/>
              </w:rPr>
              <w:t xml:space="preserve">Opis </w:t>
            </w:r>
          </w:p>
        </w:tc>
        <w:tc>
          <w:tcPr>
            <w:tcW w:w="851" w:type="dxa"/>
            <w:tcBorders>
              <w:top w:val="single" w:sz="4" w:space="0" w:color="000000"/>
              <w:left w:val="single" w:sz="4" w:space="0" w:color="000000"/>
              <w:bottom w:val="single" w:sz="4" w:space="0" w:color="000000"/>
              <w:right w:val="single" w:sz="4" w:space="0" w:color="000000"/>
            </w:tcBorders>
            <w:vAlign w:val="center"/>
          </w:tcPr>
          <w:p w:rsidR="00D7307B" w:rsidRPr="00BF578C" w:rsidRDefault="00D7307B">
            <w:pPr>
              <w:jc w:val="center"/>
              <w:rPr>
                <w:rFonts w:ascii="Calibri" w:hAnsi="Calibri" w:cs="Arial"/>
                <w:color w:val="000000"/>
                <w:sz w:val="18"/>
                <w:szCs w:val="18"/>
              </w:rPr>
            </w:pPr>
            <w:r w:rsidRPr="00BF578C">
              <w:rPr>
                <w:rFonts w:ascii="Calibri" w:hAnsi="Calibri" w:cs="Arial"/>
                <w:color w:val="000000"/>
                <w:sz w:val="18"/>
                <w:szCs w:val="18"/>
              </w:rPr>
              <w:t>Jedinica mjere</w:t>
            </w:r>
          </w:p>
        </w:tc>
        <w:tc>
          <w:tcPr>
            <w:tcW w:w="992" w:type="dxa"/>
            <w:tcBorders>
              <w:top w:val="single" w:sz="4" w:space="0" w:color="000000"/>
              <w:left w:val="single" w:sz="4" w:space="0" w:color="000000"/>
              <w:bottom w:val="single" w:sz="4" w:space="0" w:color="000000"/>
              <w:right w:val="single" w:sz="4" w:space="0" w:color="000000"/>
            </w:tcBorders>
            <w:vAlign w:val="center"/>
          </w:tcPr>
          <w:p w:rsidR="00D7307B" w:rsidRPr="00BF578C" w:rsidRDefault="00D7307B">
            <w:pPr>
              <w:jc w:val="center"/>
              <w:rPr>
                <w:rFonts w:ascii="Calibri" w:hAnsi="Calibri" w:cs="Arial"/>
                <w:color w:val="000000"/>
                <w:sz w:val="20"/>
              </w:rPr>
            </w:pPr>
            <w:r w:rsidRPr="00BF578C">
              <w:rPr>
                <w:rFonts w:ascii="Calibri" w:hAnsi="Calibri" w:cs="Arial"/>
                <w:color w:val="000000"/>
                <w:sz w:val="20"/>
              </w:rPr>
              <w:t>Količina</w:t>
            </w:r>
          </w:p>
        </w:tc>
        <w:tc>
          <w:tcPr>
            <w:tcW w:w="1134" w:type="dxa"/>
            <w:tcBorders>
              <w:top w:val="single" w:sz="4" w:space="0" w:color="000000"/>
              <w:left w:val="single" w:sz="4" w:space="0" w:color="000000"/>
              <w:bottom w:val="single" w:sz="4" w:space="0" w:color="000000"/>
              <w:right w:val="single" w:sz="4" w:space="0" w:color="000000"/>
            </w:tcBorders>
            <w:vAlign w:val="center"/>
          </w:tcPr>
          <w:p w:rsidR="00D7307B" w:rsidRPr="00BF578C" w:rsidRDefault="00D7307B">
            <w:pPr>
              <w:jc w:val="center"/>
              <w:rPr>
                <w:rFonts w:ascii="Calibri" w:hAnsi="Calibri" w:cs="Arial"/>
                <w:color w:val="000000"/>
                <w:sz w:val="20"/>
              </w:rPr>
            </w:pPr>
            <w:r w:rsidRPr="00BF578C">
              <w:rPr>
                <w:rFonts w:ascii="Calibri" w:hAnsi="Calibri" w:cs="Arial"/>
                <w:color w:val="000000"/>
                <w:sz w:val="20"/>
              </w:rPr>
              <w:t>Jedinična cijena</w:t>
            </w:r>
          </w:p>
        </w:tc>
        <w:tc>
          <w:tcPr>
            <w:tcW w:w="1567" w:type="dxa"/>
            <w:tcBorders>
              <w:top w:val="single" w:sz="4" w:space="0" w:color="000000"/>
              <w:left w:val="single" w:sz="4" w:space="0" w:color="000000"/>
              <w:bottom w:val="single" w:sz="4" w:space="0" w:color="000000"/>
              <w:right w:val="single" w:sz="4" w:space="0" w:color="000000"/>
            </w:tcBorders>
            <w:vAlign w:val="center"/>
          </w:tcPr>
          <w:p w:rsidR="00D7307B" w:rsidRPr="00BF578C" w:rsidRDefault="00D7307B">
            <w:pPr>
              <w:jc w:val="center"/>
              <w:rPr>
                <w:rFonts w:ascii="Calibri" w:hAnsi="Calibri" w:cs="Arial"/>
                <w:color w:val="000000"/>
                <w:sz w:val="20"/>
              </w:rPr>
            </w:pPr>
            <w:r w:rsidRPr="00BF578C">
              <w:rPr>
                <w:rFonts w:ascii="Calibri" w:hAnsi="Calibri" w:cs="Arial"/>
                <w:color w:val="000000"/>
                <w:sz w:val="20"/>
              </w:rPr>
              <w:t>Iznos                     (bez PDV-a)</w:t>
            </w:r>
          </w:p>
        </w:tc>
      </w:tr>
      <w:tr w:rsidR="00AC3C47" w:rsidTr="000D6086">
        <w:trPr>
          <w:trHeight w:val="3383"/>
          <w:jc w:val="center"/>
        </w:trPr>
        <w:tc>
          <w:tcPr>
            <w:tcW w:w="5196" w:type="dxa"/>
            <w:tcBorders>
              <w:top w:val="single" w:sz="4" w:space="0" w:color="000000"/>
              <w:left w:val="single" w:sz="4" w:space="0" w:color="000000"/>
              <w:bottom w:val="single" w:sz="4" w:space="0" w:color="000000"/>
              <w:right w:val="single" w:sz="4" w:space="0" w:color="000000"/>
            </w:tcBorders>
            <w:vAlign w:val="center"/>
          </w:tcPr>
          <w:p w:rsidR="00AC3C47" w:rsidRDefault="00AC3C47">
            <w:pPr>
              <w:rPr>
                <w:rFonts w:ascii="Calibri" w:hAnsi="Calibri" w:cs="Arial"/>
                <w:color w:val="000000"/>
                <w:szCs w:val="24"/>
              </w:rPr>
            </w:pPr>
            <w:r>
              <w:rPr>
                <w:rFonts w:ascii="Calibri" w:hAnsi="Calibri" w:cs="Arial"/>
                <w:color w:val="000000"/>
              </w:rPr>
              <w:t>1. dio:</w:t>
            </w:r>
            <w:r>
              <w:rPr>
                <w:rFonts w:ascii="Calibri" w:hAnsi="Calibri" w:cs="Arial"/>
                <w:color w:val="000000"/>
              </w:rPr>
              <w:br/>
              <w:t>a) BIS CORE - Dorade BIS-a za prijelaz na valutu euro:</w:t>
            </w:r>
            <w:r>
              <w:rPr>
                <w:rFonts w:ascii="Calibri" w:hAnsi="Calibri" w:cs="Arial"/>
                <w:color w:val="000000"/>
              </w:rPr>
              <w:br/>
              <w:t>- Faza 1  – priprema uz prijenos znanja i radionice</w:t>
            </w:r>
            <w:r>
              <w:rPr>
                <w:rFonts w:ascii="Calibri" w:hAnsi="Calibri" w:cs="Arial"/>
                <w:color w:val="000000"/>
              </w:rPr>
              <w:br/>
              <w:t>- Faza 2 – dvojno iskazivanje cijena</w:t>
            </w:r>
            <w:r>
              <w:rPr>
                <w:rFonts w:ascii="Calibri" w:hAnsi="Calibri" w:cs="Arial"/>
                <w:color w:val="000000"/>
              </w:rPr>
              <w:br/>
              <w:t>b) Integracija BIS-a i vanjskih sustava:</w:t>
            </w:r>
            <w:r>
              <w:rPr>
                <w:rFonts w:ascii="Calibri" w:hAnsi="Calibri" w:cs="Arial"/>
                <w:color w:val="000000"/>
              </w:rPr>
              <w:br/>
              <w:t>- Dorada prijenosa podataka između BIS-a i integriranih vanjskih sustava: PIS, ljekarnički sustav, privatni osiguravatelji</w:t>
            </w:r>
            <w:r>
              <w:rPr>
                <w:rFonts w:ascii="Calibri" w:hAnsi="Calibri" w:cs="Arial"/>
                <w:color w:val="000000"/>
              </w:rPr>
              <w:br/>
              <w:t>c) PharmacyHospital sustav za bolničku ljekarnu:</w:t>
            </w:r>
            <w:r>
              <w:rPr>
                <w:rFonts w:ascii="Calibri" w:hAnsi="Calibri" w:cs="Arial"/>
                <w:color w:val="000000"/>
              </w:rPr>
              <w:br/>
              <w:t xml:space="preserve">- Dorade sustava za prijelaz na euro </w:t>
            </w:r>
          </w:p>
        </w:tc>
        <w:tc>
          <w:tcPr>
            <w:tcW w:w="851" w:type="dxa"/>
            <w:tcBorders>
              <w:top w:val="single" w:sz="4" w:space="0" w:color="000000"/>
              <w:left w:val="single" w:sz="4" w:space="0" w:color="000000"/>
              <w:bottom w:val="single" w:sz="4" w:space="0" w:color="000000"/>
              <w:right w:val="single" w:sz="4" w:space="0" w:color="000000"/>
            </w:tcBorders>
            <w:vAlign w:val="center"/>
          </w:tcPr>
          <w:p w:rsidR="00AC3C47" w:rsidRDefault="00AC3C47">
            <w:pPr>
              <w:jc w:val="center"/>
              <w:rPr>
                <w:rFonts w:ascii="Calibri" w:hAnsi="Calibri" w:cs="Arial"/>
                <w:color w:val="000000"/>
                <w:szCs w:val="24"/>
              </w:rPr>
            </w:pPr>
            <w:r>
              <w:rPr>
                <w:rFonts w:ascii="Calibri" w:hAnsi="Calibri" w:cs="Arial"/>
                <w:color w:val="000000"/>
              </w:rPr>
              <w:t>kom</w:t>
            </w:r>
          </w:p>
        </w:tc>
        <w:tc>
          <w:tcPr>
            <w:tcW w:w="992" w:type="dxa"/>
            <w:tcBorders>
              <w:top w:val="single" w:sz="4" w:space="0" w:color="000000"/>
              <w:left w:val="single" w:sz="4" w:space="0" w:color="000000"/>
              <w:bottom w:val="single" w:sz="4" w:space="0" w:color="000000"/>
              <w:right w:val="single" w:sz="4" w:space="0" w:color="000000"/>
            </w:tcBorders>
            <w:vAlign w:val="center"/>
          </w:tcPr>
          <w:p w:rsidR="00AC3C47" w:rsidRDefault="00AC3C47">
            <w:pPr>
              <w:jc w:val="center"/>
              <w:rPr>
                <w:rFonts w:ascii="Calibri" w:hAnsi="Calibri" w:cs="Arial"/>
                <w:color w:val="000000"/>
                <w:szCs w:val="24"/>
              </w:rPr>
            </w:pPr>
            <w:r>
              <w:rPr>
                <w:rFonts w:ascii="Calibri" w:hAnsi="Calibri" w:cs="Arial"/>
                <w:color w:val="000000"/>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AC3C47" w:rsidRDefault="00AC3C47" w:rsidP="001B0E28">
            <w:pPr>
              <w:snapToGrid w:val="0"/>
              <w:jc w:val="center"/>
              <w:rPr>
                <w:b/>
                <w:color w:val="0070C0"/>
                <w:sz w:val="20"/>
              </w:rPr>
            </w:pPr>
          </w:p>
        </w:tc>
        <w:tc>
          <w:tcPr>
            <w:tcW w:w="1567" w:type="dxa"/>
            <w:tcBorders>
              <w:top w:val="single" w:sz="4" w:space="0" w:color="000000"/>
              <w:left w:val="single" w:sz="4" w:space="0" w:color="000000"/>
              <w:bottom w:val="single" w:sz="4" w:space="0" w:color="000000"/>
              <w:right w:val="single" w:sz="4" w:space="0" w:color="000000"/>
            </w:tcBorders>
          </w:tcPr>
          <w:p w:rsidR="00AC3C47" w:rsidRDefault="00AC3C47" w:rsidP="001B0E28">
            <w:pPr>
              <w:snapToGrid w:val="0"/>
              <w:jc w:val="center"/>
              <w:rPr>
                <w:b/>
                <w:color w:val="0070C0"/>
                <w:sz w:val="20"/>
              </w:rPr>
            </w:pPr>
          </w:p>
        </w:tc>
      </w:tr>
      <w:tr w:rsidR="00AC3C47" w:rsidTr="000D6086">
        <w:trPr>
          <w:trHeight w:val="1982"/>
          <w:jc w:val="center"/>
        </w:trPr>
        <w:tc>
          <w:tcPr>
            <w:tcW w:w="5196" w:type="dxa"/>
            <w:tcBorders>
              <w:top w:val="single" w:sz="4" w:space="0" w:color="000000"/>
              <w:left w:val="single" w:sz="4" w:space="0" w:color="000000"/>
              <w:bottom w:val="single" w:sz="4" w:space="0" w:color="000000"/>
              <w:right w:val="single" w:sz="4" w:space="0" w:color="000000"/>
            </w:tcBorders>
            <w:vAlign w:val="center"/>
          </w:tcPr>
          <w:p w:rsidR="00AC3C47" w:rsidRDefault="00AC3C47">
            <w:pPr>
              <w:rPr>
                <w:rFonts w:ascii="Calibri" w:hAnsi="Calibri" w:cs="Arial"/>
                <w:color w:val="000000"/>
                <w:szCs w:val="24"/>
              </w:rPr>
            </w:pPr>
            <w:r>
              <w:rPr>
                <w:rFonts w:ascii="Calibri" w:hAnsi="Calibri" w:cs="Arial"/>
                <w:color w:val="000000"/>
              </w:rPr>
              <w:t>2. dio:</w:t>
            </w:r>
            <w:r>
              <w:rPr>
                <w:rFonts w:ascii="Calibri" w:hAnsi="Calibri" w:cs="Arial"/>
                <w:color w:val="000000"/>
              </w:rPr>
              <w:br/>
              <w:t>a) BIS CORE - Dorade BIS-a za prijelaz na valutu euro:</w:t>
            </w:r>
            <w:r>
              <w:rPr>
                <w:rFonts w:ascii="Calibri" w:hAnsi="Calibri" w:cs="Arial"/>
                <w:color w:val="000000"/>
              </w:rPr>
              <w:br/>
              <w:t>- Faza 3  – uvođenje eura kao službene valute</w:t>
            </w:r>
            <w:r>
              <w:rPr>
                <w:rFonts w:ascii="Calibri" w:hAnsi="Calibri" w:cs="Arial"/>
                <w:color w:val="000000"/>
              </w:rPr>
              <w:br/>
              <w:t>d) PharmacyHospital sustav za bolničku ljekarnu:</w:t>
            </w:r>
            <w:r>
              <w:rPr>
                <w:rFonts w:ascii="Calibri" w:hAnsi="Calibri" w:cs="Arial"/>
                <w:color w:val="000000"/>
              </w:rPr>
              <w:br/>
              <w:t xml:space="preserve"> - Uvođenje eura kao službene valute</w:t>
            </w:r>
          </w:p>
        </w:tc>
        <w:tc>
          <w:tcPr>
            <w:tcW w:w="851" w:type="dxa"/>
            <w:tcBorders>
              <w:top w:val="single" w:sz="4" w:space="0" w:color="000000"/>
              <w:left w:val="single" w:sz="4" w:space="0" w:color="000000"/>
              <w:bottom w:val="single" w:sz="4" w:space="0" w:color="000000"/>
              <w:right w:val="single" w:sz="4" w:space="0" w:color="000000"/>
            </w:tcBorders>
            <w:vAlign w:val="center"/>
          </w:tcPr>
          <w:p w:rsidR="00AC3C47" w:rsidRDefault="00AC3C47">
            <w:pPr>
              <w:jc w:val="center"/>
              <w:rPr>
                <w:rFonts w:ascii="Calibri" w:hAnsi="Calibri" w:cs="Arial"/>
                <w:color w:val="000000"/>
                <w:szCs w:val="24"/>
              </w:rPr>
            </w:pPr>
            <w:r>
              <w:rPr>
                <w:rFonts w:ascii="Calibri" w:hAnsi="Calibri" w:cs="Arial"/>
                <w:color w:val="000000"/>
              </w:rPr>
              <w:t>kom</w:t>
            </w:r>
          </w:p>
        </w:tc>
        <w:tc>
          <w:tcPr>
            <w:tcW w:w="992" w:type="dxa"/>
            <w:tcBorders>
              <w:top w:val="single" w:sz="4" w:space="0" w:color="000000"/>
              <w:left w:val="single" w:sz="4" w:space="0" w:color="000000"/>
              <w:bottom w:val="single" w:sz="4" w:space="0" w:color="000000"/>
              <w:right w:val="single" w:sz="4" w:space="0" w:color="000000"/>
            </w:tcBorders>
            <w:vAlign w:val="center"/>
          </w:tcPr>
          <w:p w:rsidR="00AC3C47" w:rsidRDefault="00AC3C47">
            <w:pPr>
              <w:jc w:val="center"/>
              <w:rPr>
                <w:rFonts w:ascii="Calibri" w:hAnsi="Calibri" w:cs="Arial"/>
                <w:color w:val="000000"/>
                <w:szCs w:val="24"/>
              </w:rPr>
            </w:pPr>
            <w:r>
              <w:rPr>
                <w:rFonts w:ascii="Calibri" w:hAnsi="Calibri" w:cs="Arial"/>
                <w:color w:val="000000"/>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AC3C47" w:rsidRDefault="00AC3C47" w:rsidP="001B0E28">
            <w:pPr>
              <w:snapToGrid w:val="0"/>
              <w:jc w:val="center"/>
              <w:rPr>
                <w:b/>
                <w:color w:val="0070C0"/>
                <w:sz w:val="22"/>
                <w:szCs w:val="22"/>
              </w:rPr>
            </w:pPr>
          </w:p>
        </w:tc>
        <w:tc>
          <w:tcPr>
            <w:tcW w:w="1567" w:type="dxa"/>
            <w:tcBorders>
              <w:top w:val="single" w:sz="4" w:space="0" w:color="000000"/>
              <w:left w:val="single" w:sz="4" w:space="0" w:color="000000"/>
              <w:bottom w:val="single" w:sz="4" w:space="0" w:color="000000"/>
              <w:right w:val="single" w:sz="4" w:space="0" w:color="000000"/>
            </w:tcBorders>
          </w:tcPr>
          <w:p w:rsidR="00AC3C47" w:rsidRDefault="00AC3C47" w:rsidP="001B0E28">
            <w:pPr>
              <w:snapToGrid w:val="0"/>
              <w:jc w:val="center"/>
              <w:rPr>
                <w:b/>
                <w:color w:val="0070C0"/>
                <w:sz w:val="22"/>
                <w:szCs w:val="22"/>
              </w:rPr>
            </w:pPr>
          </w:p>
        </w:tc>
      </w:tr>
      <w:tr w:rsidR="00AC3C47" w:rsidTr="00AC3C47">
        <w:trPr>
          <w:trHeight w:val="647"/>
          <w:jc w:val="center"/>
        </w:trPr>
        <w:tc>
          <w:tcPr>
            <w:tcW w:w="8173" w:type="dxa"/>
            <w:gridSpan w:val="4"/>
            <w:tcBorders>
              <w:top w:val="single" w:sz="4" w:space="0" w:color="000000"/>
              <w:left w:val="single" w:sz="4" w:space="0" w:color="000000"/>
              <w:bottom w:val="single" w:sz="4" w:space="0" w:color="000000"/>
              <w:right w:val="single" w:sz="4" w:space="0" w:color="000000"/>
            </w:tcBorders>
            <w:vAlign w:val="center"/>
          </w:tcPr>
          <w:p w:rsidR="00AC3C47" w:rsidRDefault="00AC3C47" w:rsidP="00AC3C47">
            <w:pPr>
              <w:jc w:val="right"/>
              <w:rPr>
                <w:rFonts w:ascii="Calibri" w:hAnsi="Calibri" w:cs="Arial"/>
                <w:color w:val="000000"/>
                <w:szCs w:val="24"/>
              </w:rPr>
            </w:pPr>
            <w:r>
              <w:rPr>
                <w:rFonts w:ascii="Calibri" w:hAnsi="Calibri" w:cs="Arial"/>
                <w:color w:val="000000"/>
              </w:rPr>
              <w:t>UKUPNO (bez PDV-a)</w:t>
            </w:r>
          </w:p>
        </w:tc>
        <w:tc>
          <w:tcPr>
            <w:tcW w:w="1567" w:type="dxa"/>
            <w:tcBorders>
              <w:top w:val="single" w:sz="4" w:space="0" w:color="000000"/>
              <w:left w:val="single" w:sz="4" w:space="0" w:color="000000"/>
              <w:bottom w:val="single" w:sz="4" w:space="0" w:color="000000"/>
              <w:right w:val="single" w:sz="4" w:space="0" w:color="000000"/>
            </w:tcBorders>
          </w:tcPr>
          <w:p w:rsidR="00AC3C47" w:rsidRDefault="00AC3C47" w:rsidP="001B0E28">
            <w:pPr>
              <w:snapToGrid w:val="0"/>
              <w:jc w:val="center"/>
              <w:rPr>
                <w:color w:val="0070C0"/>
                <w:sz w:val="22"/>
                <w:szCs w:val="22"/>
              </w:rPr>
            </w:pPr>
          </w:p>
        </w:tc>
      </w:tr>
      <w:tr w:rsidR="00AC3C47" w:rsidTr="00AC3C47">
        <w:trPr>
          <w:trHeight w:val="555"/>
          <w:jc w:val="center"/>
        </w:trPr>
        <w:tc>
          <w:tcPr>
            <w:tcW w:w="8173" w:type="dxa"/>
            <w:gridSpan w:val="4"/>
            <w:tcBorders>
              <w:top w:val="single" w:sz="4" w:space="0" w:color="000000"/>
              <w:left w:val="single" w:sz="4" w:space="0" w:color="000000"/>
              <w:bottom w:val="single" w:sz="4" w:space="0" w:color="000000"/>
              <w:right w:val="single" w:sz="4" w:space="0" w:color="000000"/>
            </w:tcBorders>
            <w:vAlign w:val="center"/>
          </w:tcPr>
          <w:p w:rsidR="00AC3C47" w:rsidRDefault="00AC3C47" w:rsidP="00AC3C47">
            <w:pPr>
              <w:jc w:val="right"/>
              <w:rPr>
                <w:rFonts w:ascii="Calibri" w:hAnsi="Calibri" w:cs="Arial"/>
                <w:color w:val="000000"/>
                <w:szCs w:val="24"/>
              </w:rPr>
            </w:pPr>
            <w:r>
              <w:rPr>
                <w:rFonts w:ascii="Calibri" w:hAnsi="Calibri" w:cs="Arial"/>
                <w:color w:val="000000"/>
              </w:rPr>
              <w:t>IZNOS PDV-a</w:t>
            </w:r>
          </w:p>
        </w:tc>
        <w:tc>
          <w:tcPr>
            <w:tcW w:w="1567" w:type="dxa"/>
            <w:tcBorders>
              <w:top w:val="single" w:sz="4" w:space="0" w:color="000000"/>
              <w:left w:val="single" w:sz="4" w:space="0" w:color="000000"/>
              <w:bottom w:val="single" w:sz="4" w:space="0" w:color="000000"/>
              <w:right w:val="single" w:sz="4" w:space="0" w:color="000000"/>
            </w:tcBorders>
          </w:tcPr>
          <w:p w:rsidR="00AC3C47" w:rsidRDefault="00AC3C47" w:rsidP="001B0E28">
            <w:pPr>
              <w:snapToGrid w:val="0"/>
              <w:jc w:val="center"/>
              <w:rPr>
                <w:color w:val="0070C0"/>
                <w:sz w:val="22"/>
                <w:szCs w:val="22"/>
              </w:rPr>
            </w:pPr>
          </w:p>
        </w:tc>
      </w:tr>
      <w:tr w:rsidR="00AC3C47" w:rsidTr="00AC3C47">
        <w:trPr>
          <w:trHeight w:val="563"/>
          <w:jc w:val="center"/>
        </w:trPr>
        <w:tc>
          <w:tcPr>
            <w:tcW w:w="8173" w:type="dxa"/>
            <w:gridSpan w:val="4"/>
            <w:tcBorders>
              <w:top w:val="single" w:sz="4" w:space="0" w:color="000000"/>
              <w:left w:val="single" w:sz="4" w:space="0" w:color="000000"/>
              <w:bottom w:val="single" w:sz="4" w:space="0" w:color="000000"/>
              <w:right w:val="single" w:sz="4" w:space="0" w:color="000000"/>
            </w:tcBorders>
            <w:vAlign w:val="center"/>
          </w:tcPr>
          <w:p w:rsidR="00AC3C47" w:rsidRDefault="00AC3C47" w:rsidP="00AC3C47">
            <w:pPr>
              <w:jc w:val="right"/>
              <w:rPr>
                <w:rFonts w:ascii="Calibri" w:hAnsi="Calibri" w:cs="Arial"/>
                <w:color w:val="000000"/>
                <w:szCs w:val="24"/>
              </w:rPr>
            </w:pPr>
            <w:r>
              <w:rPr>
                <w:rFonts w:ascii="Calibri" w:hAnsi="Calibri" w:cs="Arial"/>
                <w:color w:val="000000"/>
              </w:rPr>
              <w:t>SVEUKUPNO (s PDV-om)</w:t>
            </w:r>
          </w:p>
        </w:tc>
        <w:tc>
          <w:tcPr>
            <w:tcW w:w="1567" w:type="dxa"/>
            <w:tcBorders>
              <w:top w:val="single" w:sz="4" w:space="0" w:color="000000"/>
              <w:left w:val="single" w:sz="4" w:space="0" w:color="000000"/>
              <w:bottom w:val="single" w:sz="4" w:space="0" w:color="000000"/>
              <w:right w:val="single" w:sz="4" w:space="0" w:color="000000"/>
            </w:tcBorders>
          </w:tcPr>
          <w:p w:rsidR="00AC3C47" w:rsidRDefault="00AC3C47" w:rsidP="001B0E28">
            <w:pPr>
              <w:snapToGrid w:val="0"/>
              <w:jc w:val="center"/>
              <w:rPr>
                <w:color w:val="0070C0"/>
                <w:sz w:val="22"/>
                <w:szCs w:val="22"/>
              </w:rPr>
            </w:pPr>
          </w:p>
        </w:tc>
      </w:tr>
    </w:tbl>
    <w:p w:rsidR="001B0E28" w:rsidRPr="00086843" w:rsidRDefault="001B0E28" w:rsidP="008B7108">
      <w:pPr>
        <w:rPr>
          <w:rFonts w:ascii="Times New Roman" w:hAnsi="Times New Roman"/>
          <w:b/>
          <w:bCs/>
          <w:szCs w:val="28"/>
        </w:rPr>
      </w:pPr>
    </w:p>
    <w:tbl>
      <w:tblPr>
        <w:tblW w:w="13327" w:type="dxa"/>
        <w:tblInd w:w="-885" w:type="dxa"/>
        <w:tblLayout w:type="fixed"/>
        <w:tblLook w:val="04A0"/>
      </w:tblPr>
      <w:tblGrid>
        <w:gridCol w:w="561"/>
        <w:gridCol w:w="282"/>
        <w:gridCol w:w="1838"/>
        <w:gridCol w:w="844"/>
        <w:gridCol w:w="587"/>
        <w:gridCol w:w="1257"/>
        <w:gridCol w:w="1843"/>
        <w:gridCol w:w="576"/>
        <w:gridCol w:w="850"/>
        <w:gridCol w:w="2560"/>
        <w:gridCol w:w="2129"/>
      </w:tblGrid>
      <w:tr w:rsidR="00E96CAF" w:rsidRPr="00291F06" w:rsidTr="00B62260">
        <w:trPr>
          <w:gridBefore w:val="1"/>
          <w:gridAfter w:val="1"/>
          <w:wBefore w:w="561" w:type="dxa"/>
          <w:wAfter w:w="2129" w:type="dxa"/>
          <w:trHeight w:val="615"/>
        </w:trPr>
        <w:tc>
          <w:tcPr>
            <w:tcW w:w="10637" w:type="dxa"/>
            <w:gridSpan w:val="9"/>
            <w:tcBorders>
              <w:top w:val="nil"/>
              <w:left w:val="nil"/>
              <w:bottom w:val="nil"/>
              <w:right w:val="nil"/>
            </w:tcBorders>
            <w:shd w:val="clear" w:color="auto" w:fill="auto"/>
            <w:vAlign w:val="bottom"/>
            <w:hideMark/>
          </w:tcPr>
          <w:p w:rsidR="00E96CAF" w:rsidRPr="00291F06" w:rsidRDefault="00E96CAF" w:rsidP="00291F06">
            <w:pPr>
              <w:pStyle w:val="ListParagraph"/>
              <w:numPr>
                <w:ilvl w:val="0"/>
                <w:numId w:val="29"/>
              </w:numPr>
              <w:rPr>
                <w:rFonts w:ascii="Times New Roman" w:hAnsi="Times New Roman"/>
                <w:b/>
                <w:bCs/>
                <w:sz w:val="18"/>
                <w:szCs w:val="18"/>
              </w:rPr>
            </w:pPr>
            <w:r w:rsidRPr="00291F06">
              <w:rPr>
                <w:rFonts w:ascii="Times New Roman" w:hAnsi="Times New Roman"/>
                <w:b/>
                <w:bCs/>
                <w:sz w:val="18"/>
                <w:szCs w:val="18"/>
              </w:rPr>
              <w:t xml:space="preserve">Napomena: Ponuda na obrascu mora biti cjelovita i obuhvatiti sve navedene </w:t>
            </w:r>
            <w:r w:rsidR="00291F06" w:rsidRPr="00291F06">
              <w:rPr>
                <w:rFonts w:ascii="Times New Roman" w:hAnsi="Times New Roman"/>
                <w:b/>
                <w:bCs/>
                <w:sz w:val="18"/>
                <w:szCs w:val="18"/>
              </w:rPr>
              <w:t>stavke</w:t>
            </w:r>
            <w:r w:rsidRPr="00291F06">
              <w:rPr>
                <w:rFonts w:ascii="Times New Roman" w:hAnsi="Times New Roman"/>
                <w:b/>
                <w:bCs/>
                <w:sz w:val="18"/>
                <w:szCs w:val="18"/>
              </w:rPr>
              <w:t xml:space="preserve"> u </w:t>
            </w:r>
            <w:r w:rsidRPr="00291F06">
              <w:rPr>
                <w:rFonts w:ascii="Times New Roman" w:hAnsi="Times New Roman"/>
                <w:b/>
                <w:sz w:val="18"/>
                <w:szCs w:val="18"/>
              </w:rPr>
              <w:t>troškovniku</w:t>
            </w:r>
            <w:r w:rsidR="00291F06">
              <w:rPr>
                <w:rFonts w:ascii="Times New Roman" w:hAnsi="Times New Roman"/>
                <w:b/>
                <w:sz w:val="18"/>
                <w:szCs w:val="18"/>
              </w:rPr>
              <w:t xml:space="preserve"> kao uvjet prihvatljivosti ponude</w:t>
            </w:r>
            <w:r w:rsidRPr="00291F06">
              <w:rPr>
                <w:rFonts w:ascii="Times New Roman" w:hAnsi="Times New Roman"/>
                <w:b/>
                <w:bCs/>
                <w:sz w:val="18"/>
                <w:szCs w:val="18"/>
              </w:rPr>
              <w:t xml:space="preserve"> </w:t>
            </w:r>
          </w:p>
        </w:tc>
      </w:tr>
      <w:tr w:rsidR="00E96CAF" w:rsidRPr="00291F06" w:rsidTr="00B62260">
        <w:trPr>
          <w:gridAfter w:val="8"/>
          <w:wAfter w:w="10646" w:type="dxa"/>
          <w:trHeight w:val="300"/>
        </w:trPr>
        <w:tc>
          <w:tcPr>
            <w:tcW w:w="2681" w:type="dxa"/>
            <w:gridSpan w:val="3"/>
            <w:tcBorders>
              <w:top w:val="nil"/>
              <w:left w:val="nil"/>
              <w:bottom w:val="nil"/>
              <w:right w:val="nil"/>
            </w:tcBorders>
            <w:shd w:val="clear" w:color="auto" w:fill="auto"/>
            <w:noWrap/>
            <w:vAlign w:val="bottom"/>
            <w:hideMark/>
          </w:tcPr>
          <w:p w:rsidR="00E96CAF" w:rsidRPr="00291F06" w:rsidRDefault="00E96CAF" w:rsidP="00B62260">
            <w:pPr>
              <w:rPr>
                <w:rFonts w:ascii="Times New Roman" w:hAnsi="Times New Roman"/>
                <w:b/>
                <w:bCs/>
                <w:sz w:val="18"/>
                <w:szCs w:val="18"/>
              </w:rPr>
            </w:pPr>
          </w:p>
        </w:tc>
      </w:tr>
      <w:tr w:rsidR="00E96CAF" w:rsidRPr="00A14DEA" w:rsidTr="00B62260">
        <w:trPr>
          <w:trHeight w:val="300"/>
        </w:trPr>
        <w:tc>
          <w:tcPr>
            <w:tcW w:w="843" w:type="dxa"/>
            <w:gridSpan w:val="2"/>
            <w:tcBorders>
              <w:top w:val="nil"/>
              <w:left w:val="nil"/>
              <w:bottom w:val="nil"/>
              <w:right w:val="nil"/>
            </w:tcBorders>
            <w:shd w:val="clear" w:color="auto" w:fill="auto"/>
            <w:noWrap/>
            <w:vAlign w:val="bottom"/>
            <w:hideMark/>
          </w:tcPr>
          <w:p w:rsidR="00E96CAF" w:rsidRPr="00A14DEA" w:rsidRDefault="00E96CAF" w:rsidP="00B62260">
            <w:pPr>
              <w:rPr>
                <w:rFonts w:ascii="Times New Roman" w:hAnsi="Times New Roman"/>
                <w:b/>
                <w:bCs/>
                <w:sz w:val="18"/>
                <w:szCs w:val="18"/>
              </w:rPr>
            </w:pPr>
          </w:p>
        </w:tc>
        <w:tc>
          <w:tcPr>
            <w:tcW w:w="2682" w:type="dxa"/>
            <w:gridSpan w:val="2"/>
            <w:tcBorders>
              <w:top w:val="nil"/>
              <w:left w:val="nil"/>
              <w:bottom w:val="nil"/>
              <w:right w:val="nil"/>
            </w:tcBorders>
            <w:shd w:val="clear" w:color="auto" w:fill="auto"/>
            <w:noWrap/>
            <w:vAlign w:val="bottom"/>
            <w:hideMark/>
          </w:tcPr>
          <w:p w:rsidR="00E96CAF" w:rsidRPr="00A14DEA" w:rsidRDefault="00E96CAF" w:rsidP="00B62260">
            <w:pPr>
              <w:jc w:val="both"/>
              <w:rPr>
                <w:rFonts w:ascii="Times New Roman" w:hAnsi="Times New Roman"/>
                <w:b/>
                <w:bCs/>
                <w:sz w:val="18"/>
                <w:szCs w:val="18"/>
              </w:rPr>
            </w:pPr>
          </w:p>
        </w:tc>
        <w:tc>
          <w:tcPr>
            <w:tcW w:w="587" w:type="dxa"/>
            <w:tcBorders>
              <w:top w:val="nil"/>
              <w:left w:val="nil"/>
              <w:bottom w:val="nil"/>
              <w:right w:val="nil"/>
            </w:tcBorders>
            <w:shd w:val="clear" w:color="auto" w:fill="auto"/>
            <w:noWrap/>
            <w:vAlign w:val="bottom"/>
            <w:hideMark/>
          </w:tcPr>
          <w:p w:rsidR="00E96CAF" w:rsidRPr="00A14DEA" w:rsidRDefault="00E96CAF" w:rsidP="00B62260">
            <w:pPr>
              <w:rPr>
                <w:rFonts w:ascii="Times New Roman" w:hAnsi="Times New Roman"/>
                <w:b/>
                <w:bCs/>
                <w:sz w:val="18"/>
                <w:szCs w:val="18"/>
              </w:rPr>
            </w:pPr>
          </w:p>
        </w:tc>
        <w:tc>
          <w:tcPr>
            <w:tcW w:w="1257" w:type="dxa"/>
            <w:tcBorders>
              <w:top w:val="nil"/>
              <w:left w:val="nil"/>
              <w:bottom w:val="nil"/>
              <w:right w:val="nil"/>
            </w:tcBorders>
            <w:shd w:val="clear" w:color="auto" w:fill="auto"/>
            <w:noWrap/>
            <w:vAlign w:val="bottom"/>
            <w:hideMark/>
          </w:tcPr>
          <w:p w:rsidR="00E96CAF" w:rsidRPr="00A14DEA" w:rsidRDefault="00E96CAF" w:rsidP="00B62260">
            <w:pPr>
              <w:rPr>
                <w:rFonts w:ascii="Times New Roman" w:hAnsi="Times New Roman"/>
                <w:sz w:val="18"/>
                <w:szCs w:val="18"/>
              </w:rPr>
            </w:pPr>
          </w:p>
        </w:tc>
        <w:tc>
          <w:tcPr>
            <w:tcW w:w="1843" w:type="dxa"/>
            <w:tcBorders>
              <w:top w:val="nil"/>
              <w:left w:val="nil"/>
              <w:bottom w:val="nil"/>
              <w:right w:val="nil"/>
            </w:tcBorders>
            <w:shd w:val="clear" w:color="auto" w:fill="auto"/>
            <w:noWrap/>
            <w:vAlign w:val="bottom"/>
            <w:hideMark/>
          </w:tcPr>
          <w:p w:rsidR="00E96CAF" w:rsidRPr="00A14DEA" w:rsidRDefault="00E96CAF" w:rsidP="00B62260">
            <w:pPr>
              <w:rPr>
                <w:rFonts w:ascii="Times New Roman" w:hAnsi="Times New Roman"/>
                <w:sz w:val="18"/>
                <w:szCs w:val="18"/>
              </w:rPr>
            </w:pPr>
          </w:p>
        </w:tc>
        <w:tc>
          <w:tcPr>
            <w:tcW w:w="576" w:type="dxa"/>
            <w:tcBorders>
              <w:top w:val="nil"/>
              <w:left w:val="nil"/>
              <w:bottom w:val="nil"/>
              <w:right w:val="nil"/>
            </w:tcBorders>
            <w:shd w:val="clear" w:color="auto" w:fill="auto"/>
            <w:noWrap/>
            <w:vAlign w:val="bottom"/>
            <w:hideMark/>
          </w:tcPr>
          <w:p w:rsidR="00E96CAF" w:rsidRPr="00A14DEA" w:rsidRDefault="00E96CAF" w:rsidP="00B62260">
            <w:pPr>
              <w:rPr>
                <w:rFonts w:ascii="Times New Roman" w:hAnsi="Times New Roman"/>
                <w:sz w:val="18"/>
                <w:szCs w:val="18"/>
              </w:rPr>
            </w:pPr>
          </w:p>
        </w:tc>
        <w:tc>
          <w:tcPr>
            <w:tcW w:w="850" w:type="dxa"/>
            <w:tcBorders>
              <w:top w:val="nil"/>
              <w:left w:val="nil"/>
              <w:bottom w:val="nil"/>
              <w:right w:val="nil"/>
            </w:tcBorders>
          </w:tcPr>
          <w:p w:rsidR="00E96CAF" w:rsidRPr="00A14DEA" w:rsidRDefault="00E96CAF" w:rsidP="00B62260">
            <w:pPr>
              <w:rPr>
                <w:rFonts w:ascii="Times New Roman" w:hAnsi="Times New Roman"/>
                <w:sz w:val="18"/>
                <w:szCs w:val="18"/>
              </w:rPr>
            </w:pPr>
          </w:p>
        </w:tc>
        <w:tc>
          <w:tcPr>
            <w:tcW w:w="4689" w:type="dxa"/>
            <w:gridSpan w:val="2"/>
            <w:tcBorders>
              <w:top w:val="nil"/>
              <w:left w:val="nil"/>
              <w:bottom w:val="nil"/>
              <w:right w:val="nil"/>
            </w:tcBorders>
            <w:shd w:val="clear" w:color="auto" w:fill="auto"/>
            <w:noWrap/>
            <w:vAlign w:val="bottom"/>
            <w:hideMark/>
          </w:tcPr>
          <w:p w:rsidR="00E96CAF" w:rsidRPr="00A14DEA" w:rsidRDefault="00E96CAF" w:rsidP="00B62260">
            <w:pPr>
              <w:rPr>
                <w:rFonts w:ascii="Times New Roman" w:hAnsi="Times New Roman"/>
                <w:sz w:val="18"/>
                <w:szCs w:val="18"/>
              </w:rPr>
            </w:pPr>
          </w:p>
        </w:tc>
      </w:tr>
    </w:tbl>
    <w:p w:rsidR="00033C49" w:rsidRDefault="00033C49" w:rsidP="008B7108">
      <w:pPr>
        <w:rPr>
          <w:rFonts w:ascii="Times New Roman" w:hAnsi="Times New Roman"/>
          <w:b/>
          <w:sz w:val="28"/>
          <w:szCs w:val="22"/>
        </w:rPr>
      </w:pPr>
    </w:p>
    <w:p w:rsidR="00033C49" w:rsidRDefault="00033C49" w:rsidP="008B7108">
      <w:pPr>
        <w:rPr>
          <w:rFonts w:ascii="Times New Roman" w:hAnsi="Times New Roman"/>
          <w:b/>
          <w:sz w:val="28"/>
          <w:szCs w:val="22"/>
        </w:rPr>
      </w:pPr>
    </w:p>
    <w:p w:rsidR="00E96CAF" w:rsidRPr="00086843" w:rsidRDefault="00E96CAF" w:rsidP="00E96CAF">
      <w:pPr>
        <w:ind w:left="6237"/>
        <w:rPr>
          <w:rFonts w:ascii="Times New Roman" w:hAnsi="Times New Roman"/>
          <w:sz w:val="20"/>
          <w:u w:val="single"/>
        </w:rPr>
      </w:pPr>
      <w:r w:rsidRPr="00086843">
        <w:rPr>
          <w:rFonts w:ascii="Times New Roman" w:hAnsi="Times New Roman"/>
          <w:sz w:val="20"/>
        </w:rPr>
        <w:t>___________________________</w:t>
      </w:r>
    </w:p>
    <w:p w:rsidR="00E96CAF" w:rsidRDefault="00E96CAF" w:rsidP="00E96CAF">
      <w:pPr>
        <w:ind w:left="5517" w:firstLine="720"/>
        <w:rPr>
          <w:rFonts w:ascii="Times New Roman" w:hAnsi="Times New Roman"/>
          <w:sz w:val="20"/>
        </w:rPr>
      </w:pPr>
      <w:r w:rsidRPr="00086843">
        <w:rPr>
          <w:rFonts w:ascii="Times New Roman" w:hAnsi="Times New Roman"/>
          <w:sz w:val="20"/>
        </w:rPr>
        <w:t>Ovjera ponuditelja (potpis i pečat)</w:t>
      </w:r>
    </w:p>
    <w:p w:rsidR="00291F06" w:rsidRDefault="00291F06" w:rsidP="00E96CAF">
      <w:pPr>
        <w:ind w:left="5517" w:firstLine="720"/>
        <w:rPr>
          <w:rFonts w:ascii="Times New Roman" w:hAnsi="Times New Roman"/>
          <w:sz w:val="20"/>
        </w:rPr>
      </w:pPr>
    </w:p>
    <w:p w:rsidR="00291F06" w:rsidRDefault="00291F06" w:rsidP="00E96CAF">
      <w:pPr>
        <w:ind w:left="5517" w:firstLine="720"/>
        <w:rPr>
          <w:rFonts w:ascii="Times New Roman" w:hAnsi="Times New Roman"/>
          <w:sz w:val="20"/>
        </w:rPr>
      </w:pPr>
    </w:p>
    <w:p w:rsidR="00291F06" w:rsidRDefault="00291F06" w:rsidP="00E96CAF">
      <w:pPr>
        <w:ind w:left="5517" w:firstLine="720"/>
        <w:rPr>
          <w:rFonts w:ascii="Times New Roman" w:hAnsi="Times New Roman"/>
          <w:sz w:val="20"/>
        </w:rPr>
      </w:pPr>
    </w:p>
    <w:p w:rsidR="00291F06" w:rsidRDefault="00291F06" w:rsidP="00E96CAF">
      <w:pPr>
        <w:ind w:left="5517" w:firstLine="720"/>
        <w:rPr>
          <w:rFonts w:ascii="Times New Roman" w:hAnsi="Times New Roman"/>
          <w:sz w:val="20"/>
        </w:rPr>
      </w:pPr>
    </w:p>
    <w:p w:rsidR="00291F06" w:rsidRPr="00086843" w:rsidRDefault="00291F06" w:rsidP="00E96CAF">
      <w:pPr>
        <w:ind w:left="5517" w:firstLine="720"/>
        <w:rPr>
          <w:rFonts w:ascii="Times New Roman" w:hAnsi="Times New Roman"/>
          <w:bCs/>
          <w:sz w:val="22"/>
          <w:szCs w:val="22"/>
        </w:rPr>
      </w:pPr>
    </w:p>
    <w:p w:rsidR="00055DF1" w:rsidRPr="00055DF1" w:rsidRDefault="00055DF1" w:rsidP="00055DF1">
      <w:pPr>
        <w:widowControl w:val="0"/>
        <w:numPr>
          <w:ilvl w:val="0"/>
          <w:numId w:val="30"/>
        </w:numPr>
        <w:tabs>
          <w:tab w:val="left" w:pos="-10800"/>
        </w:tabs>
        <w:suppressAutoHyphens/>
        <w:autoSpaceDN w:val="0"/>
        <w:jc w:val="both"/>
        <w:rPr>
          <w:rFonts w:ascii="Times New Roman" w:hAnsi="Times New Roman"/>
          <w:b/>
          <w:bCs/>
          <w:sz w:val="20"/>
          <w:lang w:val="en-GB"/>
        </w:rPr>
      </w:pPr>
      <w:r w:rsidRPr="00055DF1">
        <w:rPr>
          <w:rFonts w:ascii="Times New Roman" w:hAnsi="Times New Roman"/>
          <w:b/>
          <w:bCs/>
          <w:sz w:val="20"/>
          <w:lang w:val="en-GB"/>
        </w:rPr>
        <w:lastRenderedPageBreak/>
        <w:t>OPIS PREDMETA NABAVE</w:t>
      </w:r>
    </w:p>
    <w:p w:rsidR="00055DF1" w:rsidRPr="00055DF1" w:rsidRDefault="00055DF1" w:rsidP="00055DF1">
      <w:pPr>
        <w:jc w:val="both"/>
        <w:rPr>
          <w:rFonts w:ascii="Times New Roman" w:hAnsi="Times New Roman"/>
          <w:sz w:val="20"/>
          <w:lang w:val="en-GB"/>
        </w:rPr>
      </w:pPr>
    </w:p>
    <w:p w:rsidR="00055DF1" w:rsidRPr="00055DF1" w:rsidRDefault="00055DF1" w:rsidP="00055DF1">
      <w:pPr>
        <w:spacing w:line="360" w:lineRule="auto"/>
        <w:jc w:val="both"/>
        <w:rPr>
          <w:rFonts w:ascii="Times New Roman" w:hAnsi="Times New Roman"/>
          <w:sz w:val="20"/>
        </w:rPr>
      </w:pPr>
      <w:proofErr w:type="spellStart"/>
      <w:r w:rsidRPr="00055DF1">
        <w:rPr>
          <w:rStyle w:val="Zadanifontodlomka"/>
          <w:rFonts w:ascii="Times New Roman" w:hAnsi="Times New Roman"/>
          <w:sz w:val="20"/>
          <w:lang w:val="en-GB"/>
        </w:rPr>
        <w:t>Predmet</w:t>
      </w:r>
      <w:proofErr w:type="spellEnd"/>
      <w:r w:rsidRPr="00055DF1">
        <w:rPr>
          <w:rStyle w:val="Zadanifontodlomka"/>
          <w:rFonts w:ascii="Times New Roman" w:hAnsi="Times New Roman"/>
          <w:sz w:val="20"/>
          <w:lang w:val="en-GB"/>
        </w:rPr>
        <w:t xml:space="preserve"> </w:t>
      </w:r>
      <w:proofErr w:type="spellStart"/>
      <w:r w:rsidRPr="00055DF1">
        <w:rPr>
          <w:rStyle w:val="Zadanifontodlomka"/>
          <w:rFonts w:ascii="Times New Roman" w:hAnsi="Times New Roman"/>
          <w:sz w:val="20"/>
          <w:lang w:val="en-GB"/>
        </w:rPr>
        <w:t>nabave</w:t>
      </w:r>
      <w:proofErr w:type="spellEnd"/>
      <w:r w:rsidRPr="00055DF1">
        <w:rPr>
          <w:rStyle w:val="Zadanifontodlomka"/>
          <w:rFonts w:ascii="Times New Roman" w:hAnsi="Times New Roman"/>
          <w:sz w:val="20"/>
          <w:lang w:val="en-GB"/>
        </w:rPr>
        <w:t xml:space="preserve">: </w:t>
      </w:r>
      <w:proofErr w:type="spellStart"/>
      <w:r w:rsidRPr="00055DF1">
        <w:rPr>
          <w:rStyle w:val="Zadanifontodlomka1"/>
          <w:rFonts w:ascii="Times New Roman" w:hAnsi="Times New Roman"/>
          <w:b/>
          <w:sz w:val="20"/>
          <w:lang w:val="en-GB"/>
        </w:rPr>
        <w:t>Projekt</w:t>
      </w:r>
      <w:proofErr w:type="spellEnd"/>
      <w:r w:rsidRPr="00055DF1">
        <w:rPr>
          <w:rStyle w:val="Zadanifontodlomka1"/>
          <w:rFonts w:ascii="Times New Roman" w:hAnsi="Times New Roman"/>
          <w:b/>
          <w:sz w:val="20"/>
          <w:lang w:val="en-GB"/>
        </w:rPr>
        <w:t xml:space="preserve"> </w:t>
      </w:r>
      <w:proofErr w:type="spellStart"/>
      <w:r w:rsidRPr="00055DF1">
        <w:rPr>
          <w:rStyle w:val="Zadanifontodlomka1"/>
          <w:rFonts w:ascii="Times New Roman" w:hAnsi="Times New Roman"/>
          <w:b/>
          <w:sz w:val="20"/>
          <w:lang w:val="en-GB"/>
        </w:rPr>
        <w:t>prilagodbe</w:t>
      </w:r>
      <w:proofErr w:type="spellEnd"/>
      <w:r w:rsidRPr="00055DF1">
        <w:rPr>
          <w:rStyle w:val="Zadanifontodlomka1"/>
          <w:rFonts w:ascii="Times New Roman" w:hAnsi="Times New Roman"/>
          <w:b/>
          <w:sz w:val="20"/>
          <w:lang w:val="en-GB"/>
        </w:rPr>
        <w:t xml:space="preserve"> i </w:t>
      </w:r>
      <w:proofErr w:type="spellStart"/>
      <w:r w:rsidRPr="00055DF1">
        <w:rPr>
          <w:rStyle w:val="Zadanifontodlomka1"/>
          <w:rFonts w:ascii="Times New Roman" w:hAnsi="Times New Roman"/>
          <w:b/>
          <w:sz w:val="20"/>
          <w:lang w:val="en-GB"/>
        </w:rPr>
        <w:t>nadogradnje</w:t>
      </w:r>
      <w:proofErr w:type="spellEnd"/>
      <w:r w:rsidRPr="00055DF1">
        <w:rPr>
          <w:rStyle w:val="Zadanifontodlomka1"/>
          <w:rFonts w:ascii="Times New Roman" w:hAnsi="Times New Roman"/>
          <w:b/>
          <w:sz w:val="20"/>
          <w:lang w:val="en-GB"/>
        </w:rPr>
        <w:t xml:space="preserve"> IBIS-a za </w:t>
      </w:r>
      <w:proofErr w:type="spellStart"/>
      <w:r w:rsidRPr="00055DF1">
        <w:rPr>
          <w:rStyle w:val="Zadanifontodlomka1"/>
          <w:rFonts w:ascii="Times New Roman" w:hAnsi="Times New Roman"/>
          <w:b/>
          <w:sz w:val="20"/>
          <w:lang w:val="en-GB"/>
        </w:rPr>
        <w:t>uvođenje</w:t>
      </w:r>
      <w:proofErr w:type="spellEnd"/>
      <w:r w:rsidRPr="00055DF1">
        <w:rPr>
          <w:rStyle w:val="Zadanifontodlomka1"/>
          <w:rFonts w:ascii="Times New Roman" w:hAnsi="Times New Roman"/>
          <w:b/>
          <w:sz w:val="20"/>
          <w:lang w:val="en-GB"/>
        </w:rPr>
        <w:t xml:space="preserve"> </w:t>
      </w:r>
      <w:proofErr w:type="spellStart"/>
      <w:r w:rsidRPr="00055DF1">
        <w:rPr>
          <w:rStyle w:val="Zadanifontodlomka1"/>
          <w:rFonts w:ascii="Times New Roman" w:hAnsi="Times New Roman"/>
          <w:b/>
          <w:sz w:val="20"/>
          <w:lang w:val="en-GB"/>
        </w:rPr>
        <w:t>eura</w:t>
      </w:r>
      <w:proofErr w:type="spellEnd"/>
      <w:r w:rsidRPr="00055DF1">
        <w:rPr>
          <w:rStyle w:val="Zadanifontodlomka1"/>
          <w:rFonts w:ascii="Times New Roman" w:hAnsi="Times New Roman"/>
          <w:b/>
          <w:sz w:val="20"/>
          <w:lang w:val="en-GB"/>
        </w:rPr>
        <w:t xml:space="preserve"> </w:t>
      </w:r>
      <w:proofErr w:type="spellStart"/>
      <w:r w:rsidRPr="00055DF1">
        <w:rPr>
          <w:rStyle w:val="Zadanifontodlomka1"/>
          <w:rFonts w:ascii="Times New Roman" w:hAnsi="Times New Roman"/>
          <w:b/>
          <w:sz w:val="20"/>
          <w:lang w:val="en-GB"/>
        </w:rPr>
        <w:t>kao</w:t>
      </w:r>
      <w:proofErr w:type="spellEnd"/>
      <w:r w:rsidRPr="00055DF1">
        <w:rPr>
          <w:rStyle w:val="Zadanifontodlomka1"/>
          <w:rFonts w:ascii="Times New Roman" w:hAnsi="Times New Roman"/>
          <w:b/>
          <w:sz w:val="20"/>
          <w:lang w:val="en-GB"/>
        </w:rPr>
        <w:t xml:space="preserve"> </w:t>
      </w:r>
      <w:proofErr w:type="spellStart"/>
      <w:r w:rsidRPr="00055DF1">
        <w:rPr>
          <w:rStyle w:val="Zadanifontodlomka1"/>
          <w:rFonts w:ascii="Times New Roman" w:hAnsi="Times New Roman"/>
          <w:b/>
          <w:sz w:val="20"/>
          <w:lang w:val="en-GB"/>
        </w:rPr>
        <w:t>službene</w:t>
      </w:r>
      <w:proofErr w:type="spellEnd"/>
      <w:r w:rsidRPr="00055DF1">
        <w:rPr>
          <w:rStyle w:val="Zadanifontodlomka1"/>
          <w:rFonts w:ascii="Times New Roman" w:hAnsi="Times New Roman"/>
          <w:b/>
          <w:sz w:val="20"/>
          <w:lang w:val="en-GB"/>
        </w:rPr>
        <w:t xml:space="preserve"> </w:t>
      </w:r>
      <w:proofErr w:type="spellStart"/>
      <w:r w:rsidRPr="00055DF1">
        <w:rPr>
          <w:rStyle w:val="Zadanifontodlomka1"/>
          <w:rFonts w:ascii="Times New Roman" w:hAnsi="Times New Roman"/>
          <w:b/>
          <w:sz w:val="20"/>
          <w:lang w:val="en-GB"/>
        </w:rPr>
        <w:t>nacionalne</w:t>
      </w:r>
      <w:proofErr w:type="spellEnd"/>
      <w:r w:rsidRPr="00055DF1">
        <w:rPr>
          <w:rStyle w:val="Zadanifontodlomka1"/>
          <w:rFonts w:ascii="Times New Roman" w:hAnsi="Times New Roman"/>
          <w:b/>
          <w:sz w:val="20"/>
          <w:lang w:val="en-GB"/>
        </w:rPr>
        <w:t xml:space="preserve"> </w:t>
      </w:r>
      <w:proofErr w:type="spellStart"/>
      <w:r w:rsidRPr="00055DF1">
        <w:rPr>
          <w:rStyle w:val="Zadanifontodlomka1"/>
          <w:rFonts w:ascii="Times New Roman" w:hAnsi="Times New Roman"/>
          <w:b/>
          <w:sz w:val="20"/>
          <w:lang w:val="en-GB"/>
        </w:rPr>
        <w:t>valute</w:t>
      </w:r>
      <w:proofErr w:type="spellEnd"/>
    </w:p>
    <w:p w:rsidR="00055DF1" w:rsidRPr="00055DF1" w:rsidRDefault="00055DF1" w:rsidP="00055DF1">
      <w:pPr>
        <w:spacing w:before="120"/>
        <w:jc w:val="both"/>
        <w:rPr>
          <w:rFonts w:ascii="Times New Roman" w:eastAsia="Calibri" w:hAnsi="Times New Roman"/>
          <w:b/>
          <w:bCs/>
          <w:sz w:val="20"/>
          <w:lang w:eastAsia="en-US"/>
        </w:rPr>
      </w:pPr>
      <w:r w:rsidRPr="00055DF1">
        <w:rPr>
          <w:rFonts w:ascii="Times New Roman" w:eastAsia="Calibri" w:hAnsi="Times New Roman"/>
          <w:b/>
          <w:bCs/>
          <w:sz w:val="20"/>
          <w:lang w:eastAsia="en-US"/>
        </w:rPr>
        <w:t>1. BIS CORE</w:t>
      </w:r>
    </w:p>
    <w:p w:rsidR="00055DF1" w:rsidRPr="00055DF1" w:rsidRDefault="00055DF1" w:rsidP="00055DF1">
      <w:pPr>
        <w:spacing w:before="120"/>
        <w:jc w:val="both"/>
        <w:rPr>
          <w:rFonts w:ascii="Times New Roman" w:eastAsia="Calibri" w:hAnsi="Times New Roman"/>
          <w:color w:val="000000"/>
          <w:sz w:val="20"/>
          <w:shd w:val="clear" w:color="auto" w:fill="FFFFFF"/>
          <w:lang w:eastAsia="en-US"/>
        </w:rPr>
      </w:pPr>
      <w:r w:rsidRPr="00055DF1">
        <w:rPr>
          <w:rFonts w:ascii="Times New Roman" w:eastAsia="Calibri" w:hAnsi="Times New Roman"/>
          <w:color w:val="000000"/>
          <w:sz w:val="20"/>
          <w:shd w:val="clear" w:color="auto" w:fill="FFFFFF"/>
          <w:lang w:eastAsia="en-US"/>
        </w:rPr>
        <w:t>Dorade za BIS odnose se na dvojno iskazivanje valuta, konverziju podataka u glavnu valutu plaćanja, dorade u komunikaciji između BIS-a i ostalih sustava te korisničku podršku.  </w:t>
      </w:r>
    </w:p>
    <w:p w:rsidR="00055DF1" w:rsidRPr="00055DF1" w:rsidRDefault="00055DF1" w:rsidP="00055DF1">
      <w:pPr>
        <w:spacing w:before="120"/>
        <w:jc w:val="both"/>
        <w:rPr>
          <w:rFonts w:ascii="Times New Roman" w:eastAsia="Calibri" w:hAnsi="Times New Roman"/>
          <w:sz w:val="20"/>
          <w:u w:val="single"/>
          <w:lang w:eastAsia="en-US"/>
        </w:rPr>
      </w:pPr>
      <w:r w:rsidRPr="00055DF1">
        <w:rPr>
          <w:rFonts w:ascii="Times New Roman" w:eastAsia="Calibri" w:hAnsi="Times New Roman"/>
          <w:sz w:val="20"/>
          <w:u w:val="single"/>
          <w:lang w:eastAsia="en-US"/>
        </w:rPr>
        <w:t>Dorade BIS-a za prijelaz na valutu euro </w:t>
      </w:r>
    </w:p>
    <w:p w:rsidR="00055DF1" w:rsidRPr="00055DF1" w:rsidRDefault="00055DF1" w:rsidP="00055DF1">
      <w:pPr>
        <w:spacing w:before="120"/>
        <w:jc w:val="both"/>
        <w:rPr>
          <w:rFonts w:ascii="Times New Roman" w:eastAsia="Calibri" w:hAnsi="Times New Roman"/>
          <w:b/>
          <w:bCs/>
          <w:sz w:val="20"/>
          <w:lang w:eastAsia="en-US"/>
        </w:rPr>
      </w:pPr>
      <w:r w:rsidRPr="00055DF1">
        <w:rPr>
          <w:rFonts w:ascii="Times New Roman" w:eastAsia="Calibri" w:hAnsi="Times New Roman"/>
          <w:b/>
          <w:bCs/>
          <w:sz w:val="20"/>
          <w:lang w:eastAsia="en-US"/>
        </w:rPr>
        <w:t>1) Priprema uz prijenos znanja i radionice</w:t>
      </w:r>
    </w:p>
    <w:p w:rsidR="00055DF1" w:rsidRPr="00055DF1" w:rsidRDefault="00055DF1" w:rsidP="00055DF1">
      <w:pPr>
        <w:widowControl w:val="0"/>
        <w:numPr>
          <w:ilvl w:val="0"/>
          <w:numId w:val="31"/>
        </w:numPr>
        <w:autoSpaceDN w:val="0"/>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Radionice s korisnicima </w:t>
      </w:r>
    </w:p>
    <w:p w:rsidR="00055DF1" w:rsidRPr="00055DF1" w:rsidRDefault="00055DF1" w:rsidP="00055DF1">
      <w:pPr>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Organiziranje zajedničkih radionica s korisnicima s ciljem razmjene bitnih informacija i prezentiranja idejnog rješenja kako bi korisnici bili upoznati s potencijalnim doradama prije isporuke rješenja na produkcije ustanova.   </w:t>
      </w:r>
    </w:p>
    <w:p w:rsidR="00055DF1" w:rsidRPr="00055DF1" w:rsidRDefault="00055DF1" w:rsidP="00055DF1">
      <w:pPr>
        <w:spacing w:before="120"/>
        <w:jc w:val="both"/>
        <w:rPr>
          <w:rFonts w:ascii="Times New Roman" w:hAnsi="Times New Roman"/>
          <w:sz w:val="20"/>
        </w:rPr>
      </w:pPr>
      <w:r w:rsidRPr="00055DF1">
        <w:rPr>
          <w:rFonts w:ascii="Times New Roman" w:eastAsia="Calibri" w:hAnsi="Times New Roman"/>
          <w:sz w:val="20"/>
          <w:lang w:eastAsia="en-US"/>
        </w:rPr>
        <w:t> </w:t>
      </w:r>
      <w:r w:rsidRPr="00055DF1">
        <w:rPr>
          <w:rFonts w:ascii="Times New Roman" w:eastAsia="Calibri" w:hAnsi="Times New Roman"/>
          <w:b/>
          <w:bCs/>
          <w:sz w:val="20"/>
          <w:lang w:eastAsia="en-US"/>
        </w:rPr>
        <w:t xml:space="preserve">2) Dvojno iskazivanje </w:t>
      </w:r>
    </w:p>
    <w:p w:rsidR="00055DF1" w:rsidRPr="00055DF1" w:rsidRDefault="00055DF1" w:rsidP="00055DF1">
      <w:pPr>
        <w:widowControl w:val="0"/>
        <w:numPr>
          <w:ilvl w:val="0"/>
          <w:numId w:val="32"/>
        </w:numPr>
        <w:autoSpaceDN w:val="0"/>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Prilagodba sučelja za dvojno iskazivanje cijena </w:t>
      </w:r>
    </w:p>
    <w:p w:rsidR="00055DF1" w:rsidRPr="00055DF1" w:rsidRDefault="00055DF1" w:rsidP="00055DF1">
      <w:pPr>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U WinBis-u i u modulu za fakturiranje u formama za izradu računa mora biti prikazan ukupan iznos računa u obje valute kako korisnici ne bi morali pokretati ispis računa da dobiju uvid u iznos računa u dvije valute nego će odmah po izradi računa imati pristup toj informaciji.  </w:t>
      </w:r>
    </w:p>
    <w:p w:rsidR="00055DF1" w:rsidRPr="00055DF1" w:rsidRDefault="00055DF1" w:rsidP="00055DF1">
      <w:pPr>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Korisnici će na taj način i prije službenog uvođenja eura imati vizualne dorade u sučelju u kojem svakodnevno rade, što će svakako pozitivno pridonijeti privikavanju na promjene koje stupaju na snagu početkom 2023. godine.  </w:t>
      </w:r>
    </w:p>
    <w:p w:rsidR="00055DF1" w:rsidRPr="00055DF1" w:rsidRDefault="00055DF1" w:rsidP="00055DF1">
      <w:pPr>
        <w:widowControl w:val="0"/>
        <w:numPr>
          <w:ilvl w:val="0"/>
          <w:numId w:val="33"/>
        </w:numPr>
        <w:autoSpaceDN w:val="0"/>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Prilagodba ispisa računa za dvojno iskazivanje cijena i fiksnog tečaja </w:t>
      </w:r>
    </w:p>
    <w:p w:rsidR="00055DF1" w:rsidRPr="00055DF1" w:rsidRDefault="00055DF1" w:rsidP="00055DF1">
      <w:pPr>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Na ispisima svih partnerskih računa, plaća sam računima i računima za participaciju mora biti prikazan ukupan iznos računa u obje valute pri čemu će iznos u trenutno važećoj valuti biti većeg i podebljanog fonta. Također na ispisima svih navedenih računa mora biti iskazan konverzijski tečaj, kako bi platitelj računa mogao jednostavno provjeriti ispravnost konverzije. </w:t>
      </w:r>
    </w:p>
    <w:p w:rsidR="00055DF1" w:rsidRPr="00055DF1" w:rsidRDefault="00055DF1" w:rsidP="00055DF1">
      <w:pPr>
        <w:spacing w:before="120"/>
        <w:jc w:val="both"/>
        <w:rPr>
          <w:rFonts w:ascii="Times New Roman" w:eastAsia="Calibri" w:hAnsi="Times New Roman"/>
          <w:b/>
          <w:bCs/>
          <w:sz w:val="20"/>
          <w:lang w:eastAsia="en-US"/>
        </w:rPr>
      </w:pPr>
      <w:r w:rsidRPr="00055DF1">
        <w:rPr>
          <w:rFonts w:ascii="Times New Roman" w:eastAsia="Calibri" w:hAnsi="Times New Roman"/>
          <w:b/>
          <w:bCs/>
          <w:sz w:val="20"/>
          <w:lang w:eastAsia="en-US"/>
        </w:rPr>
        <w:t>3) Uvođenje eura kao službene valute </w:t>
      </w:r>
    </w:p>
    <w:p w:rsidR="00055DF1" w:rsidRPr="00055DF1" w:rsidRDefault="00055DF1" w:rsidP="00055DF1">
      <w:pPr>
        <w:widowControl w:val="0"/>
        <w:numPr>
          <w:ilvl w:val="0"/>
          <w:numId w:val="34"/>
        </w:numPr>
        <w:autoSpaceDN w:val="0"/>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Prilagodba sučelja za dvojno iskazivanje cijena </w:t>
      </w:r>
    </w:p>
    <w:p w:rsidR="00055DF1" w:rsidRPr="00055DF1" w:rsidRDefault="00055DF1" w:rsidP="00055DF1">
      <w:pPr>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Dvojno iskazivanje cijena u formi za izradu računa će se primjenjivati i nakon službenog uvođenja eura 1.1.2023. s tim da će domaća valuta biti euro.  </w:t>
      </w:r>
    </w:p>
    <w:p w:rsidR="00055DF1" w:rsidRPr="00055DF1" w:rsidRDefault="00055DF1" w:rsidP="00055DF1">
      <w:pPr>
        <w:widowControl w:val="0"/>
        <w:numPr>
          <w:ilvl w:val="0"/>
          <w:numId w:val="35"/>
        </w:numPr>
        <w:autoSpaceDN w:val="0"/>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Prilagodba ispisa računa za dvojno iskazivanje cijena i fiksnog tečaja </w:t>
      </w:r>
    </w:p>
    <w:p w:rsidR="00055DF1" w:rsidRPr="00055DF1" w:rsidRDefault="00055DF1" w:rsidP="00055DF1">
      <w:pPr>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Na ispisima svih partnerskih računa, plaća sam računima i računima za participaciju mora i nakon 1.1.2023. godine biti prikazan ukupan iznos računa u obje valute pri čemu će iznos u eurima biti većeg i podebljanog fonta. Također na ispisima svih navedenih računa mora biti iskazan konverzijski tečaj kako bi platitelj računa mogao jednostavno provjeriti ispravnost konverzije. </w:t>
      </w:r>
    </w:p>
    <w:p w:rsidR="00055DF1" w:rsidRPr="00055DF1" w:rsidRDefault="00055DF1" w:rsidP="00055DF1">
      <w:pPr>
        <w:widowControl w:val="0"/>
        <w:numPr>
          <w:ilvl w:val="0"/>
          <w:numId w:val="36"/>
        </w:numPr>
        <w:autoSpaceDN w:val="0"/>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Prilagodba formi u kojima se iskazuje iznos </w:t>
      </w:r>
    </w:p>
    <w:p w:rsidR="00055DF1" w:rsidRPr="00055DF1" w:rsidRDefault="00055DF1" w:rsidP="00055DF1">
      <w:pPr>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U WinBis-u, modulu za fakturiranje i matičnim podacima u formama u kojima se iskazuje cijena nekih entiteta, uz cijenu mora biti dodana valuta kako bi se korisniku pružila cjelovita informacija u kojoj valuti je iznos. Dorada obuhvaća formu za naplatu participacije, formu za izradu plaća sam računa, iznose postupaka, materijala, zahvata, DTS-ova u matičnim podacima i slično. Valuta također mora biti iskazana uz cijenu i u različitim modulima BIS-a poput Dijetetičara i Ljekarne. </w:t>
      </w:r>
    </w:p>
    <w:p w:rsidR="00055DF1" w:rsidRPr="00055DF1" w:rsidRDefault="00055DF1" w:rsidP="00055DF1">
      <w:pPr>
        <w:widowControl w:val="0"/>
        <w:numPr>
          <w:ilvl w:val="0"/>
          <w:numId w:val="37"/>
        </w:numPr>
        <w:autoSpaceDN w:val="0"/>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Prilagodba izvještajnog sustava  </w:t>
      </w:r>
    </w:p>
    <w:p w:rsidR="00055DF1" w:rsidRPr="00055DF1" w:rsidRDefault="00055DF1" w:rsidP="00055DF1">
      <w:pPr>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Konverzija svih povijesnih i tekućih podataka iz kune u euro. Mora biti omogućeno izvještavanje u eurima i u kunama te usporedba iznosa računa prije i poslije prelaska na euro. Dorada izvještaja u BIS-u koji sadrže financijske podatke.  </w:t>
      </w:r>
    </w:p>
    <w:p w:rsidR="00055DF1" w:rsidRPr="00055DF1" w:rsidRDefault="00055DF1" w:rsidP="00055DF1">
      <w:pPr>
        <w:widowControl w:val="0"/>
        <w:numPr>
          <w:ilvl w:val="0"/>
          <w:numId w:val="38"/>
        </w:numPr>
        <w:autoSpaceDN w:val="0"/>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Prilagodba prijenosa uplata u blagajnu </w:t>
      </w:r>
    </w:p>
    <w:p w:rsidR="00055DF1" w:rsidRPr="00055DF1" w:rsidRDefault="00055DF1" w:rsidP="00055DF1">
      <w:pPr>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 xml:space="preserve">Dorada izvještaja neprenesenih i prenesenih uplata u blagajnički sustav informacijom u kojoj valuti je napravljena pojedina uplata kako bi korisnici prilikom prijenosa uplata u blagajnički sustav mogli napraviti točnu kalkulaciju svojih </w:t>
      </w:r>
      <w:r w:rsidRPr="00055DF1">
        <w:rPr>
          <w:rFonts w:ascii="Times New Roman" w:eastAsia="Calibri" w:hAnsi="Times New Roman"/>
          <w:sz w:val="20"/>
          <w:lang w:eastAsia="en-US"/>
        </w:rPr>
        <w:lastRenderedPageBreak/>
        <w:t>evidentiranih uplata u BIS-u sa stvarnim financijskim iznosima uplata kojima raspolažu. Na taj način će se izbjeći potencijalne konfuzne situacije s kojima bi se korisnici mogli susresti prilikom prijenosa novca u blagajnu u prijelaznom razdoblju.  </w:t>
      </w:r>
    </w:p>
    <w:p w:rsidR="00055DF1" w:rsidRPr="00055DF1" w:rsidRDefault="00055DF1" w:rsidP="00055DF1">
      <w:pPr>
        <w:widowControl w:val="0"/>
        <w:numPr>
          <w:ilvl w:val="0"/>
          <w:numId w:val="39"/>
        </w:numPr>
        <w:autoSpaceDN w:val="0"/>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Dijetetičar </w:t>
      </w:r>
    </w:p>
    <w:p w:rsidR="00055DF1" w:rsidRPr="00055DF1" w:rsidRDefault="00055DF1" w:rsidP="00055DF1">
      <w:pPr>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Proširenje formi jelovnika, normativa i potreba pacijenata informacijom u kojoj valuti je iskazana cijena.  </w:t>
      </w:r>
    </w:p>
    <w:p w:rsidR="00055DF1" w:rsidRPr="00055DF1" w:rsidRDefault="00055DF1" w:rsidP="00055DF1">
      <w:pPr>
        <w:widowControl w:val="0"/>
        <w:numPr>
          <w:ilvl w:val="0"/>
          <w:numId w:val="40"/>
        </w:numPr>
        <w:autoSpaceDN w:val="0"/>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Korisnička podrška vezana za prijelaz na euro   </w:t>
      </w:r>
    </w:p>
    <w:p w:rsidR="00055DF1" w:rsidRPr="00055DF1" w:rsidRDefault="00055DF1" w:rsidP="00055DF1">
      <w:pPr>
        <w:spacing w:before="120"/>
        <w:jc w:val="both"/>
        <w:rPr>
          <w:rFonts w:ascii="Times New Roman" w:eastAsia="Calibri" w:hAnsi="Times New Roman"/>
          <w:sz w:val="20"/>
          <w:lang w:eastAsia="en-US"/>
        </w:rPr>
      </w:pPr>
      <w:r w:rsidRPr="00055DF1">
        <w:rPr>
          <w:rFonts w:ascii="Times New Roman" w:eastAsia="Calibri" w:hAnsi="Times New Roman"/>
          <w:sz w:val="20"/>
          <w:lang w:eastAsia="en-US"/>
        </w:rPr>
        <w:t>Pružanje adekvatne i pravovremene podrške korisnicima tijekom razdoblja prelaska na euro kroz konzultacije, online edukacije, korisničke upute, prikupljanje potrebnih informacija, konfiguraciju i kontrolu ispravnosti poslovnih procesa. </w:t>
      </w:r>
    </w:p>
    <w:p w:rsidR="00055DF1" w:rsidRPr="00055DF1" w:rsidRDefault="00055DF1" w:rsidP="00055DF1">
      <w:pPr>
        <w:spacing w:before="120"/>
        <w:jc w:val="both"/>
        <w:rPr>
          <w:rFonts w:ascii="Times New Roman" w:eastAsia="Calibri" w:hAnsi="Times New Roman"/>
          <w:sz w:val="20"/>
          <w:lang w:eastAsia="en-US"/>
        </w:rPr>
      </w:pPr>
    </w:p>
    <w:p w:rsidR="00055DF1" w:rsidRPr="00055DF1" w:rsidRDefault="00055DF1" w:rsidP="00055DF1">
      <w:pPr>
        <w:ind w:left="1134"/>
        <w:jc w:val="both"/>
        <w:rPr>
          <w:rFonts w:ascii="Times New Roman" w:hAnsi="Times New Roman"/>
          <w:sz w:val="20"/>
        </w:rPr>
      </w:pPr>
    </w:p>
    <w:p w:rsidR="00055DF1" w:rsidRPr="00055DF1" w:rsidRDefault="00055DF1" w:rsidP="00055DF1">
      <w:pPr>
        <w:jc w:val="both"/>
        <w:rPr>
          <w:rFonts w:ascii="Times New Roman" w:hAnsi="Times New Roman"/>
          <w:b/>
          <w:bCs/>
          <w:sz w:val="20"/>
        </w:rPr>
      </w:pPr>
      <w:r w:rsidRPr="00055DF1">
        <w:rPr>
          <w:rFonts w:ascii="Times New Roman" w:hAnsi="Times New Roman"/>
          <w:b/>
          <w:bCs/>
          <w:sz w:val="20"/>
        </w:rPr>
        <w:t>2. INTEGRACIJA BIS-a I VANJSKIH SUSTAVA</w:t>
      </w:r>
    </w:p>
    <w:p w:rsidR="00055DF1" w:rsidRPr="00055DF1" w:rsidRDefault="00055DF1" w:rsidP="00055DF1">
      <w:pPr>
        <w:jc w:val="both"/>
        <w:rPr>
          <w:rFonts w:ascii="Times New Roman" w:hAnsi="Times New Roman"/>
          <w:sz w:val="20"/>
        </w:rPr>
      </w:pPr>
    </w:p>
    <w:p w:rsidR="00055DF1" w:rsidRPr="00055DF1" w:rsidRDefault="00055DF1" w:rsidP="00055DF1">
      <w:pPr>
        <w:numPr>
          <w:ilvl w:val="0"/>
          <w:numId w:val="41"/>
        </w:numPr>
        <w:tabs>
          <w:tab w:val="left" w:pos="720"/>
        </w:tabs>
        <w:autoSpaceDN w:val="0"/>
        <w:ind w:left="426"/>
        <w:jc w:val="both"/>
        <w:rPr>
          <w:rFonts w:ascii="Times New Roman" w:hAnsi="Times New Roman"/>
          <w:sz w:val="20"/>
        </w:rPr>
      </w:pPr>
      <w:r w:rsidRPr="00055DF1">
        <w:rPr>
          <w:rFonts w:ascii="Times New Roman" w:hAnsi="Times New Roman"/>
          <w:b/>
          <w:bCs/>
          <w:sz w:val="20"/>
        </w:rPr>
        <w:t>Dorada prijenosa podataka između BIS-a i integriranih vanjskih sustava</w:t>
      </w:r>
      <w:r w:rsidRPr="00055DF1">
        <w:rPr>
          <w:rFonts w:ascii="Times New Roman" w:hAnsi="Times New Roman"/>
          <w:sz w:val="20"/>
        </w:rPr>
        <w:t> </w:t>
      </w:r>
    </w:p>
    <w:p w:rsidR="00055DF1" w:rsidRPr="00055DF1" w:rsidRDefault="00055DF1" w:rsidP="00055DF1">
      <w:pPr>
        <w:ind w:left="1080"/>
        <w:jc w:val="both"/>
        <w:rPr>
          <w:rFonts w:ascii="Times New Roman" w:hAnsi="Times New Roman"/>
          <w:sz w:val="20"/>
        </w:rPr>
      </w:pPr>
    </w:p>
    <w:p w:rsidR="00055DF1" w:rsidRPr="00055DF1" w:rsidRDefault="00055DF1" w:rsidP="00055DF1">
      <w:pPr>
        <w:ind w:left="720"/>
        <w:jc w:val="both"/>
        <w:rPr>
          <w:rFonts w:ascii="Times New Roman" w:hAnsi="Times New Roman"/>
          <w:sz w:val="20"/>
        </w:rPr>
      </w:pPr>
      <w:r w:rsidRPr="00055DF1">
        <w:rPr>
          <w:rFonts w:ascii="Times New Roman" w:hAnsi="Times New Roman"/>
          <w:sz w:val="20"/>
        </w:rPr>
        <w:t>Komunikacija između BIS-a i vanjskih sustava će biti proširena dodatnim informacijama poput valute, kako bi oba sustava imala točnu i preciznu informaciju u kojoj valuti je vrijednost koja je predmet transakcije. </w:t>
      </w:r>
    </w:p>
    <w:p w:rsidR="00055DF1" w:rsidRPr="00055DF1" w:rsidRDefault="00055DF1" w:rsidP="00055DF1">
      <w:pPr>
        <w:ind w:left="720"/>
        <w:jc w:val="both"/>
        <w:rPr>
          <w:rFonts w:ascii="Times New Roman" w:hAnsi="Times New Roman"/>
          <w:sz w:val="20"/>
        </w:rPr>
      </w:pPr>
      <w:r w:rsidRPr="00055DF1">
        <w:rPr>
          <w:rFonts w:ascii="Times New Roman" w:hAnsi="Times New Roman"/>
          <w:sz w:val="20"/>
        </w:rPr>
        <w:t>Dorada komunikacije s vanjskim sustavima uključuje: </w:t>
      </w:r>
    </w:p>
    <w:p w:rsidR="00055DF1" w:rsidRPr="00055DF1" w:rsidRDefault="00055DF1" w:rsidP="00055DF1">
      <w:pPr>
        <w:numPr>
          <w:ilvl w:val="0"/>
          <w:numId w:val="42"/>
        </w:numPr>
        <w:tabs>
          <w:tab w:val="left" w:pos="720"/>
        </w:tabs>
        <w:autoSpaceDN w:val="0"/>
        <w:ind w:left="1134"/>
        <w:jc w:val="both"/>
        <w:rPr>
          <w:rFonts w:ascii="Times New Roman" w:hAnsi="Times New Roman"/>
          <w:sz w:val="20"/>
        </w:rPr>
      </w:pPr>
      <w:r w:rsidRPr="00055DF1">
        <w:rPr>
          <w:rFonts w:ascii="Times New Roman" w:hAnsi="Times New Roman"/>
          <w:sz w:val="20"/>
        </w:rPr>
        <w:t>Poslovne sustave (prijenos računa, prijenos uplata u blagajne…)</w:t>
      </w:r>
    </w:p>
    <w:p w:rsidR="00055DF1" w:rsidRPr="00055DF1" w:rsidRDefault="00055DF1" w:rsidP="00055DF1">
      <w:pPr>
        <w:numPr>
          <w:ilvl w:val="0"/>
          <w:numId w:val="42"/>
        </w:numPr>
        <w:tabs>
          <w:tab w:val="left" w:pos="720"/>
        </w:tabs>
        <w:autoSpaceDN w:val="0"/>
        <w:ind w:left="1134"/>
        <w:jc w:val="both"/>
        <w:rPr>
          <w:rFonts w:ascii="Times New Roman" w:hAnsi="Times New Roman"/>
          <w:sz w:val="20"/>
        </w:rPr>
      </w:pPr>
      <w:r w:rsidRPr="00055DF1">
        <w:rPr>
          <w:rStyle w:val="normaltextrun"/>
          <w:rFonts w:ascii="Times New Roman" w:hAnsi="Times New Roman"/>
          <w:sz w:val="20"/>
        </w:rPr>
        <w:t>Ljekarničke sustave (prijenos artikala, zahtjevnica…)</w:t>
      </w:r>
    </w:p>
    <w:p w:rsidR="00055DF1" w:rsidRPr="00055DF1" w:rsidRDefault="00055DF1" w:rsidP="00055DF1">
      <w:pPr>
        <w:numPr>
          <w:ilvl w:val="0"/>
          <w:numId w:val="42"/>
        </w:numPr>
        <w:tabs>
          <w:tab w:val="left" w:pos="720"/>
        </w:tabs>
        <w:autoSpaceDN w:val="0"/>
        <w:ind w:left="1134"/>
        <w:jc w:val="both"/>
        <w:rPr>
          <w:rFonts w:ascii="Times New Roman" w:hAnsi="Times New Roman"/>
          <w:sz w:val="21"/>
          <w:szCs w:val="21"/>
        </w:rPr>
      </w:pPr>
      <w:r w:rsidRPr="00055DF1">
        <w:rPr>
          <w:rFonts w:ascii="Times New Roman" w:hAnsi="Times New Roman"/>
          <w:sz w:val="20"/>
        </w:rPr>
        <w:t>Privatne osiguravatelje (autorizacija i elektronsko slanje faktura) </w:t>
      </w:r>
    </w:p>
    <w:p w:rsidR="00055DF1" w:rsidRPr="00055DF1" w:rsidRDefault="00055DF1" w:rsidP="00055DF1">
      <w:pPr>
        <w:rPr>
          <w:rFonts w:ascii="Times New Roman" w:hAnsi="Times New Roman"/>
          <w:bCs/>
          <w:iCs/>
          <w:noProof/>
          <w:sz w:val="20"/>
        </w:rPr>
      </w:pPr>
    </w:p>
    <w:p w:rsidR="00055DF1" w:rsidRPr="00055DF1" w:rsidRDefault="00055DF1" w:rsidP="00055DF1">
      <w:pPr>
        <w:rPr>
          <w:rFonts w:ascii="Times New Roman" w:hAnsi="Times New Roman"/>
          <w:bCs/>
          <w:iCs/>
          <w:noProof/>
          <w:sz w:val="20"/>
        </w:rPr>
      </w:pPr>
    </w:p>
    <w:p w:rsidR="00055DF1" w:rsidRPr="00055DF1" w:rsidRDefault="00055DF1" w:rsidP="00055DF1">
      <w:pPr>
        <w:rPr>
          <w:rFonts w:ascii="Times New Roman" w:eastAsia="Kievit Offc Pro Light" w:hAnsi="Times New Roman"/>
          <w:b/>
          <w:bCs/>
          <w:noProof/>
          <w:sz w:val="20"/>
          <w:lang w:eastAsia="en-US"/>
        </w:rPr>
      </w:pPr>
      <w:r w:rsidRPr="00055DF1">
        <w:rPr>
          <w:rFonts w:ascii="Times New Roman" w:eastAsia="Kievit Offc Pro Light" w:hAnsi="Times New Roman"/>
          <w:b/>
          <w:bCs/>
          <w:noProof/>
          <w:sz w:val="20"/>
          <w:lang w:eastAsia="en-US"/>
        </w:rPr>
        <w:t xml:space="preserve">3. </w:t>
      </w:r>
      <w:r w:rsidRPr="00055DF1">
        <w:rPr>
          <w:rFonts w:ascii="Times New Roman" w:hAnsi="Times New Roman"/>
          <w:b/>
          <w:bCs/>
          <w:noProof/>
          <w:sz w:val="22"/>
          <w:szCs w:val="22"/>
        </w:rPr>
        <w:t>PHARMACYHOSPITAL SUSTAV ZA BOLNIČKU LJEKARNU</w:t>
      </w:r>
    </w:p>
    <w:p w:rsidR="00055DF1" w:rsidRPr="00055DF1" w:rsidRDefault="00055DF1" w:rsidP="00055DF1">
      <w:pPr>
        <w:spacing w:before="120"/>
        <w:ind w:left="262"/>
        <w:jc w:val="both"/>
        <w:rPr>
          <w:rFonts w:ascii="Times New Roman" w:eastAsia="Calibri" w:hAnsi="Times New Roman"/>
          <w:noProof/>
          <w:color w:val="000000"/>
          <w:sz w:val="20"/>
          <w:shd w:val="clear" w:color="auto" w:fill="FFFFFF"/>
          <w:lang w:eastAsia="en-US"/>
        </w:rPr>
      </w:pPr>
      <w:r w:rsidRPr="00055DF1">
        <w:rPr>
          <w:rFonts w:ascii="Times New Roman" w:eastAsia="Calibri" w:hAnsi="Times New Roman"/>
          <w:noProof/>
          <w:color w:val="000000"/>
          <w:sz w:val="20"/>
          <w:shd w:val="clear" w:color="auto" w:fill="FFFFFF"/>
          <w:lang w:eastAsia="en-US"/>
        </w:rPr>
        <w:t>Ljekarnički sustav mora napraviti izmjene u slijedećim procesima:  </w:t>
      </w:r>
    </w:p>
    <w:p w:rsidR="00055DF1" w:rsidRPr="00055DF1" w:rsidRDefault="00055DF1" w:rsidP="00055DF1">
      <w:pPr>
        <w:numPr>
          <w:ilvl w:val="0"/>
          <w:numId w:val="43"/>
        </w:numPr>
        <w:spacing w:before="120" w:after="100" w:afterAutospacing="1"/>
        <w:ind w:left="714" w:hanging="357"/>
        <w:rPr>
          <w:rFonts w:ascii="Times New Roman" w:hAnsi="Times New Roman"/>
          <w:noProof/>
          <w:sz w:val="20"/>
          <w:lang w:eastAsia="en-US"/>
        </w:rPr>
      </w:pPr>
      <w:r w:rsidRPr="00055DF1">
        <w:rPr>
          <w:rFonts w:ascii="Times New Roman" w:hAnsi="Times New Roman"/>
          <w:noProof/>
          <w:sz w:val="20"/>
          <w:lang w:eastAsia="en-US"/>
        </w:rPr>
        <w:t xml:space="preserve">Konverzija svih povijesnih i tekućih podataka iz kuna u eure   </w:t>
      </w:r>
    </w:p>
    <w:p w:rsidR="00055DF1" w:rsidRPr="00055DF1" w:rsidRDefault="00055DF1" w:rsidP="00055DF1">
      <w:pPr>
        <w:numPr>
          <w:ilvl w:val="0"/>
          <w:numId w:val="43"/>
        </w:numPr>
        <w:spacing w:before="100" w:beforeAutospacing="1" w:after="100" w:afterAutospacing="1"/>
        <w:rPr>
          <w:rFonts w:ascii="Times New Roman" w:hAnsi="Times New Roman"/>
          <w:noProof/>
          <w:sz w:val="20"/>
          <w:lang w:eastAsia="en-US"/>
        </w:rPr>
      </w:pPr>
      <w:r w:rsidRPr="00055DF1">
        <w:rPr>
          <w:rFonts w:ascii="Times New Roman" w:hAnsi="Times New Roman"/>
          <w:noProof/>
          <w:sz w:val="20"/>
          <w:lang w:eastAsia="en-US"/>
        </w:rPr>
        <w:t xml:space="preserve">Stvaranje arhive za podatke prošlih razdoblja, koji će se moći pregledavati u valuti kuna        </w:t>
      </w:r>
    </w:p>
    <w:p w:rsidR="00055DF1" w:rsidRPr="00055DF1" w:rsidRDefault="00055DF1" w:rsidP="00055DF1">
      <w:pPr>
        <w:numPr>
          <w:ilvl w:val="0"/>
          <w:numId w:val="43"/>
        </w:numPr>
        <w:spacing w:before="100" w:beforeAutospacing="1" w:after="100" w:afterAutospacing="1"/>
        <w:rPr>
          <w:rFonts w:ascii="Times New Roman" w:hAnsi="Times New Roman"/>
          <w:noProof/>
          <w:sz w:val="20"/>
          <w:lang w:eastAsia="en-US"/>
        </w:rPr>
      </w:pPr>
      <w:r w:rsidRPr="00055DF1">
        <w:rPr>
          <w:rFonts w:ascii="Times New Roman" w:hAnsi="Times New Roman"/>
          <w:noProof/>
          <w:sz w:val="20"/>
          <w:lang w:eastAsia="en-US"/>
        </w:rPr>
        <w:t xml:space="preserve">Dorada opcija unutar programa za unos dvije valute, devizne i domaće (ovisno o trenutno tekućoj valuti)       </w:t>
      </w:r>
    </w:p>
    <w:p w:rsidR="00055DF1" w:rsidRPr="00055DF1" w:rsidRDefault="00055DF1" w:rsidP="00055DF1">
      <w:pPr>
        <w:numPr>
          <w:ilvl w:val="0"/>
          <w:numId w:val="43"/>
        </w:numPr>
        <w:spacing w:before="100" w:beforeAutospacing="1" w:after="100" w:afterAutospacing="1"/>
        <w:rPr>
          <w:rFonts w:ascii="Times New Roman" w:hAnsi="Times New Roman"/>
          <w:noProof/>
          <w:sz w:val="20"/>
          <w:lang w:eastAsia="en-US"/>
        </w:rPr>
      </w:pPr>
      <w:r w:rsidRPr="00055DF1">
        <w:rPr>
          <w:rFonts w:ascii="Times New Roman" w:hAnsi="Times New Roman"/>
          <w:noProof/>
          <w:sz w:val="20"/>
          <w:lang w:eastAsia="en-US"/>
        </w:rPr>
        <w:t>Dorada veza, prihvat i prijenos podataka između PIS-a i BIS-a</w:t>
      </w:r>
    </w:p>
    <w:p w:rsidR="00055DF1" w:rsidRPr="00055DF1" w:rsidRDefault="00055DF1" w:rsidP="00055DF1">
      <w:pPr>
        <w:numPr>
          <w:ilvl w:val="0"/>
          <w:numId w:val="43"/>
        </w:numPr>
        <w:spacing w:before="100" w:beforeAutospacing="1" w:after="100" w:afterAutospacing="1"/>
        <w:rPr>
          <w:rFonts w:ascii="Times New Roman" w:hAnsi="Times New Roman"/>
          <w:noProof/>
          <w:sz w:val="20"/>
          <w:lang w:eastAsia="en-US"/>
        </w:rPr>
      </w:pPr>
      <w:r w:rsidRPr="00055DF1">
        <w:rPr>
          <w:rFonts w:ascii="Times New Roman" w:hAnsi="Times New Roman"/>
          <w:noProof/>
          <w:sz w:val="20"/>
          <w:lang w:eastAsia="en-US"/>
        </w:rPr>
        <w:t xml:space="preserve">Izrada ispisa s dvojno iskazanim valutama i fiksnim tečajem </w:t>
      </w:r>
    </w:p>
    <w:p w:rsidR="00055DF1" w:rsidRPr="00055DF1" w:rsidRDefault="00055DF1" w:rsidP="00055DF1">
      <w:pPr>
        <w:numPr>
          <w:ilvl w:val="0"/>
          <w:numId w:val="43"/>
        </w:numPr>
        <w:spacing w:before="100" w:beforeAutospacing="1" w:after="100" w:afterAutospacing="1"/>
        <w:rPr>
          <w:rFonts w:ascii="Times New Roman" w:hAnsi="Times New Roman"/>
          <w:noProof/>
          <w:sz w:val="20"/>
          <w:lang w:eastAsia="en-US"/>
        </w:rPr>
      </w:pPr>
      <w:r w:rsidRPr="00055DF1">
        <w:rPr>
          <w:rFonts w:ascii="Times New Roman" w:hAnsi="Times New Roman"/>
          <w:noProof/>
          <w:sz w:val="20"/>
          <w:lang w:eastAsia="en-US"/>
        </w:rPr>
        <w:t>Korisnička podrška vezana za prijelaz na euro</w:t>
      </w:r>
    </w:p>
    <w:p w:rsidR="00055DF1" w:rsidRDefault="00055DF1" w:rsidP="008B7108">
      <w:pPr>
        <w:rPr>
          <w:rFonts w:ascii="Times New Roman" w:hAnsi="Times New Roman"/>
          <w:b/>
          <w:sz w:val="28"/>
          <w:szCs w:val="22"/>
        </w:rPr>
      </w:pPr>
    </w:p>
    <w:p w:rsidR="00055DF1" w:rsidRDefault="00055DF1" w:rsidP="008B7108">
      <w:pPr>
        <w:rPr>
          <w:rFonts w:ascii="Times New Roman" w:hAnsi="Times New Roman"/>
          <w:b/>
          <w:sz w:val="28"/>
          <w:szCs w:val="22"/>
        </w:rPr>
      </w:pPr>
    </w:p>
    <w:p w:rsidR="00055DF1" w:rsidRDefault="00055DF1" w:rsidP="008B7108">
      <w:pPr>
        <w:rPr>
          <w:rFonts w:ascii="Times New Roman" w:hAnsi="Times New Roman"/>
          <w:b/>
          <w:sz w:val="28"/>
          <w:szCs w:val="22"/>
        </w:rPr>
      </w:pPr>
    </w:p>
    <w:p w:rsidR="00055DF1" w:rsidRDefault="00055DF1" w:rsidP="008B7108">
      <w:pPr>
        <w:rPr>
          <w:rFonts w:ascii="Times New Roman" w:hAnsi="Times New Roman"/>
          <w:b/>
          <w:sz w:val="28"/>
          <w:szCs w:val="22"/>
        </w:rPr>
      </w:pPr>
    </w:p>
    <w:p w:rsidR="00F92D4E" w:rsidRDefault="00F92D4E" w:rsidP="008B7108">
      <w:pPr>
        <w:rPr>
          <w:rFonts w:ascii="Times New Roman" w:hAnsi="Times New Roman"/>
          <w:b/>
          <w:sz w:val="28"/>
          <w:szCs w:val="22"/>
        </w:rPr>
      </w:pPr>
    </w:p>
    <w:p w:rsidR="00F92D4E" w:rsidRDefault="00F92D4E" w:rsidP="008B7108">
      <w:pPr>
        <w:rPr>
          <w:rFonts w:ascii="Times New Roman" w:hAnsi="Times New Roman"/>
          <w:b/>
          <w:sz w:val="28"/>
          <w:szCs w:val="22"/>
        </w:rPr>
      </w:pPr>
    </w:p>
    <w:p w:rsidR="00F92D4E" w:rsidRDefault="00F92D4E" w:rsidP="008B7108">
      <w:pPr>
        <w:rPr>
          <w:rFonts w:ascii="Times New Roman" w:hAnsi="Times New Roman"/>
          <w:b/>
          <w:sz w:val="28"/>
          <w:szCs w:val="22"/>
        </w:rPr>
      </w:pPr>
    </w:p>
    <w:p w:rsidR="00F92D4E" w:rsidRDefault="00F92D4E" w:rsidP="008B7108">
      <w:pPr>
        <w:rPr>
          <w:rFonts w:ascii="Times New Roman" w:hAnsi="Times New Roman"/>
          <w:b/>
          <w:sz w:val="28"/>
          <w:szCs w:val="22"/>
        </w:rPr>
      </w:pPr>
    </w:p>
    <w:p w:rsidR="00F92D4E" w:rsidRDefault="00F92D4E" w:rsidP="008B7108">
      <w:pPr>
        <w:rPr>
          <w:rFonts w:ascii="Times New Roman" w:hAnsi="Times New Roman"/>
          <w:b/>
          <w:sz w:val="28"/>
          <w:szCs w:val="22"/>
        </w:rPr>
      </w:pPr>
    </w:p>
    <w:p w:rsidR="00F92D4E" w:rsidRDefault="00F92D4E" w:rsidP="008B7108">
      <w:pPr>
        <w:rPr>
          <w:rFonts w:ascii="Times New Roman" w:hAnsi="Times New Roman"/>
          <w:b/>
          <w:sz w:val="28"/>
          <w:szCs w:val="22"/>
        </w:rPr>
      </w:pPr>
    </w:p>
    <w:p w:rsidR="00F92D4E" w:rsidRDefault="00F92D4E" w:rsidP="008B7108">
      <w:pPr>
        <w:rPr>
          <w:rFonts w:ascii="Times New Roman" w:hAnsi="Times New Roman"/>
          <w:b/>
          <w:sz w:val="28"/>
          <w:szCs w:val="22"/>
        </w:rPr>
      </w:pPr>
    </w:p>
    <w:p w:rsidR="00F92D4E" w:rsidRDefault="00F92D4E" w:rsidP="008B7108">
      <w:pPr>
        <w:rPr>
          <w:rFonts w:ascii="Times New Roman" w:hAnsi="Times New Roman"/>
          <w:b/>
          <w:sz w:val="28"/>
          <w:szCs w:val="22"/>
        </w:rPr>
      </w:pPr>
    </w:p>
    <w:p w:rsidR="00F92D4E" w:rsidRDefault="00F92D4E" w:rsidP="008B7108">
      <w:pPr>
        <w:rPr>
          <w:rFonts w:ascii="Times New Roman" w:hAnsi="Times New Roman"/>
          <w:b/>
          <w:sz w:val="28"/>
          <w:szCs w:val="22"/>
        </w:rPr>
      </w:pPr>
    </w:p>
    <w:p w:rsidR="00F92D4E" w:rsidRDefault="00F92D4E" w:rsidP="008B7108">
      <w:pPr>
        <w:rPr>
          <w:rFonts w:ascii="Times New Roman" w:hAnsi="Times New Roman"/>
          <w:b/>
          <w:sz w:val="28"/>
          <w:szCs w:val="22"/>
        </w:rPr>
      </w:pPr>
    </w:p>
    <w:p w:rsidR="00F92D4E" w:rsidRDefault="00F92D4E" w:rsidP="008B7108">
      <w:pPr>
        <w:rPr>
          <w:rFonts w:ascii="Times New Roman" w:hAnsi="Times New Roman"/>
          <w:b/>
          <w:sz w:val="28"/>
          <w:szCs w:val="22"/>
        </w:rPr>
      </w:pPr>
    </w:p>
    <w:p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rsidR="00BB63AB"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rsidR="001B0E28" w:rsidRDefault="00C76A10" w:rsidP="001B0E28">
      <w:pPr>
        <w:jc w:val="center"/>
        <w:rPr>
          <w:rFonts w:ascii="Times New Roman" w:hAnsi="Times New Roman"/>
          <w:b/>
          <w:bCs/>
          <w:sz w:val="32"/>
          <w:szCs w:val="32"/>
        </w:rPr>
      </w:pPr>
      <w:r w:rsidRPr="00C76A10">
        <w:rPr>
          <w:rFonts w:ascii="Times New Roman" w:hAnsi="Times New Roman"/>
          <w:b/>
          <w:bCs/>
          <w:sz w:val="32"/>
          <w:szCs w:val="32"/>
        </w:rPr>
        <w:t>Projekt prilagodbe i nadogradnje iBIS-a za uvo</w:t>
      </w:r>
      <w:r w:rsidRPr="00C76A10">
        <w:rPr>
          <w:rFonts w:ascii="Times New Roman" w:hAnsi="Times New Roman" w:hint="eastAsia"/>
          <w:b/>
          <w:bCs/>
          <w:sz w:val="32"/>
          <w:szCs w:val="32"/>
        </w:rPr>
        <w:t>đ</w:t>
      </w:r>
      <w:r w:rsidRPr="00C76A10">
        <w:rPr>
          <w:rFonts w:ascii="Times New Roman" w:hAnsi="Times New Roman"/>
          <w:b/>
          <w:bCs/>
          <w:sz w:val="32"/>
          <w:szCs w:val="32"/>
        </w:rPr>
        <w:t>enje EUR-a kao slu</w:t>
      </w:r>
      <w:r w:rsidRPr="00C76A10">
        <w:rPr>
          <w:rFonts w:ascii="Times New Roman" w:hAnsi="Times New Roman" w:hint="eastAsia"/>
          <w:b/>
          <w:bCs/>
          <w:sz w:val="32"/>
          <w:szCs w:val="32"/>
        </w:rPr>
        <w:t>ž</w:t>
      </w:r>
      <w:r w:rsidRPr="00C76A10">
        <w:rPr>
          <w:rFonts w:ascii="Times New Roman" w:hAnsi="Times New Roman"/>
          <w:b/>
          <w:bCs/>
          <w:sz w:val="32"/>
          <w:szCs w:val="32"/>
        </w:rPr>
        <w:t>bene nacionalne valute</w:t>
      </w:r>
    </w:p>
    <w:p w:rsidR="001B0E28" w:rsidRDefault="001B0E28" w:rsidP="008B7108">
      <w:pPr>
        <w:rPr>
          <w:rFonts w:ascii="Times New Roman" w:hAnsi="Times New Roman"/>
          <w:sz w:val="20"/>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E30106">
        <w:trPr>
          <w:trHeight w:val="1107"/>
        </w:trPr>
        <w:tc>
          <w:tcPr>
            <w:tcW w:w="4089" w:type="dxa"/>
            <w:vAlign w:val="center"/>
          </w:tcPr>
          <w:p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086843" w:rsidRDefault="00BB63AB" w:rsidP="008B7108">
            <w:pPr>
              <w:pStyle w:val="BodyTextIndent"/>
              <w:ind w:firstLine="0"/>
            </w:pPr>
          </w:p>
        </w:tc>
        <w:tc>
          <w:tcPr>
            <w:tcW w:w="5811" w:type="dxa"/>
            <w:vAlign w:val="center"/>
          </w:tcPr>
          <w:p w:rsidR="00BB63AB" w:rsidRPr="00086843" w:rsidRDefault="00BB63AB" w:rsidP="008B7108">
            <w:pPr>
              <w:pStyle w:val="BodyTextIndent"/>
              <w:ind w:firstLine="0"/>
            </w:pPr>
          </w:p>
        </w:tc>
      </w:tr>
    </w:tbl>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rsidR="00BB63AB" w:rsidRPr="00086843" w:rsidRDefault="00BB63AB" w:rsidP="008B7108">
      <w:pPr>
        <w:jc w:val="both"/>
        <w:rPr>
          <w:rFonts w:ascii="Times New Roman" w:hAnsi="Times New Roman"/>
          <w:bCs/>
          <w:sz w:val="22"/>
          <w:szCs w:val="22"/>
        </w:rPr>
      </w:pP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w:t>
      </w:r>
      <w:r w:rsidR="001B0E28">
        <w:rPr>
          <w:rFonts w:ascii="Times New Roman" w:hAnsi="Times New Roman"/>
          <w:sz w:val="20"/>
        </w:rPr>
        <w:t xml:space="preserve">Nino Funčić, dipl. oec. – </w:t>
      </w:r>
      <w:r w:rsidR="00C76A10">
        <w:rPr>
          <w:rFonts w:ascii="Times New Roman" w:hAnsi="Times New Roman"/>
          <w:sz w:val="20"/>
        </w:rPr>
        <w:t>Rukov</w:t>
      </w:r>
      <w:r w:rsidR="001B0E28">
        <w:rPr>
          <w:rFonts w:ascii="Times New Roman" w:hAnsi="Times New Roman"/>
          <w:sz w:val="20"/>
        </w:rPr>
        <w:t xml:space="preserve">oditelj </w:t>
      </w:r>
      <w:r w:rsidR="00C76A10">
        <w:rPr>
          <w:rFonts w:ascii="Times New Roman" w:hAnsi="Times New Roman"/>
          <w:sz w:val="20"/>
        </w:rPr>
        <w:t>O</w:t>
      </w:r>
      <w:r w:rsidR="001B0E28">
        <w:rPr>
          <w:rFonts w:ascii="Times New Roman" w:hAnsi="Times New Roman"/>
          <w:sz w:val="20"/>
        </w:rPr>
        <w:t>djela za nabavu, investicije i EU-fondove</w:t>
      </w:r>
      <w:r w:rsidR="000D4D4A">
        <w:rPr>
          <w:rFonts w:ascii="Times New Roman" w:hAnsi="Times New Roman"/>
          <w:sz w:val="20"/>
        </w:rPr>
        <w:t>;</w:t>
      </w:r>
      <w:r w:rsidRPr="00086843">
        <w:rPr>
          <w:rFonts w:ascii="Times New Roman" w:hAnsi="Times New Roman"/>
          <w:sz w:val="20"/>
        </w:rPr>
        <w:t xml:space="preserve"> </w:t>
      </w:r>
      <w:r w:rsidR="00BB5FBF">
        <w:rPr>
          <w:rFonts w:ascii="Times New Roman" w:hAnsi="Times New Roman"/>
          <w:sz w:val="20"/>
        </w:rPr>
        <w:t>Moreta Pikunić, mag. oec.</w:t>
      </w:r>
      <w:r w:rsidRPr="00086843">
        <w:rPr>
          <w:rFonts w:ascii="Times New Roman" w:hAnsi="Times New Roman"/>
          <w:sz w:val="20"/>
        </w:rPr>
        <w:t xml:space="preserve"> – </w:t>
      </w:r>
      <w:r w:rsidR="00BB5FBF">
        <w:rPr>
          <w:rFonts w:ascii="Times New Roman" w:hAnsi="Times New Roman"/>
          <w:sz w:val="20"/>
        </w:rPr>
        <w:t>viši stručni savjetnik za javnu nabavu</w:t>
      </w:r>
      <w:r w:rsidR="00DB68B5">
        <w:rPr>
          <w:rFonts w:ascii="Times New Roman" w:hAnsi="Times New Roman"/>
          <w:sz w:val="20"/>
        </w:rPr>
        <w:t>.</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 xml:space="preserve">TELEFON: </w:t>
      </w:r>
      <w:r w:rsidR="000D4D4A" w:rsidRPr="00086843">
        <w:rPr>
          <w:rFonts w:ascii="Times New Roman" w:hAnsi="Times New Roman"/>
          <w:sz w:val="20"/>
        </w:rPr>
        <w:t>: 023/505-</w:t>
      </w:r>
      <w:r w:rsidR="000D4D4A">
        <w:rPr>
          <w:rFonts w:ascii="Times New Roman" w:hAnsi="Times New Roman"/>
          <w:sz w:val="20"/>
        </w:rPr>
        <w:t>491</w:t>
      </w:r>
      <w:r w:rsidR="000D4D4A" w:rsidRPr="000D4D4A">
        <w:rPr>
          <w:rFonts w:ascii="Times New Roman" w:hAnsi="Times New Roman"/>
          <w:sz w:val="20"/>
        </w:rPr>
        <w:t xml:space="preserve">; </w:t>
      </w:r>
      <w:r w:rsidRPr="00086843">
        <w:rPr>
          <w:rFonts w:ascii="Times New Roman" w:hAnsi="Times New Roman"/>
          <w:sz w:val="20"/>
        </w:rPr>
        <w:t>023/505-</w:t>
      </w:r>
      <w:r w:rsidR="00BB5FBF">
        <w:rPr>
          <w:rFonts w:ascii="Times New Roman" w:hAnsi="Times New Roman"/>
          <w:sz w:val="20"/>
        </w:rPr>
        <w:t>535</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D4D4A" w:rsidRDefault="004E1B7C" w:rsidP="008B7108">
      <w:pPr>
        <w:jc w:val="both"/>
        <w:rPr>
          <w:rFonts w:ascii="Times New Roman" w:hAnsi="Times New Roman"/>
          <w:b/>
          <w:bCs/>
          <w:sz w:val="20"/>
          <w:u w:val="single"/>
        </w:rPr>
      </w:pPr>
      <w:r w:rsidRPr="00086843">
        <w:rPr>
          <w:rFonts w:ascii="Times New Roman" w:hAnsi="Times New Roman"/>
          <w:sz w:val="20"/>
        </w:rPr>
        <w:t xml:space="preserve">ADRESA ELEKTRONIČKE POŠTE: </w:t>
      </w:r>
      <w:r w:rsidR="002F2E1A">
        <w:rPr>
          <w:rStyle w:val="Hyperlink"/>
          <w:rFonts w:ascii="Times New Roman" w:hAnsi="Times New Roman"/>
          <w:bCs/>
          <w:sz w:val="20"/>
        </w:rPr>
        <w:fldChar w:fldCharType="begin"/>
      </w:r>
      <w:r w:rsidR="002F2E1A">
        <w:rPr>
          <w:rStyle w:val="Hyperlink"/>
          <w:rFonts w:ascii="Times New Roman" w:hAnsi="Times New Roman"/>
          <w:bCs/>
          <w:sz w:val="20"/>
        </w:rPr>
        <w:instrText xml:space="preserve"> HYPERLINK "mailto:</w:instrText>
      </w:r>
      <w:r w:rsidR="002F2E1A" w:rsidRPr="000D4D4A">
        <w:rPr>
          <w:rStyle w:val="Hyperlink"/>
          <w:rFonts w:ascii="Times New Roman" w:hAnsi="Times New Roman"/>
          <w:bCs/>
          <w:sz w:val="20"/>
        </w:rPr>
        <w:instrText>nino.funcic@zd.t-com.hr</w:instrText>
      </w:r>
      <w:r w:rsidR="002F2E1A">
        <w:rPr>
          <w:rStyle w:val="Hyperlink"/>
          <w:rFonts w:ascii="Times New Roman" w:hAnsi="Times New Roman"/>
          <w:bCs/>
          <w:sz w:val="20"/>
        </w:rPr>
        <w:instrText xml:space="preserve">" </w:instrText>
      </w:r>
      <w:r w:rsidR="002F2E1A">
        <w:rPr>
          <w:rStyle w:val="Hyperlink"/>
          <w:rFonts w:ascii="Times New Roman" w:hAnsi="Times New Roman"/>
          <w:bCs/>
          <w:sz w:val="20"/>
        </w:rPr>
        <w:fldChar w:fldCharType="separate"/>
      </w:r>
      <w:r w:rsidR="002F2E1A" w:rsidRPr="008C0249">
        <w:rPr>
          <w:rStyle w:val="Hyperlink"/>
          <w:rFonts w:ascii="Times New Roman" w:hAnsi="Times New Roman"/>
          <w:bCs/>
          <w:sz w:val="20"/>
        </w:rPr>
        <w:t>nino.funcic@zd.t-com.hr</w:t>
      </w:r>
      <w:r w:rsidR="002F2E1A">
        <w:rPr>
          <w:rStyle w:val="Hyperlink"/>
          <w:rFonts w:ascii="Times New Roman" w:hAnsi="Times New Roman"/>
          <w:bCs/>
          <w:sz w:val="20"/>
        </w:rPr>
        <w:fldChar w:fldCharType="end"/>
      </w:r>
      <w:r w:rsidR="002F2E1A">
        <w:rPr>
          <w:rStyle w:val="Hyperlink"/>
          <w:rFonts w:ascii="Times New Roman" w:hAnsi="Times New Roman"/>
          <w:bCs/>
          <w:sz w:val="20"/>
        </w:rPr>
        <w:t xml:space="preserve">; </w:t>
      </w:r>
      <w:hyperlink r:id="rId8" w:history="1">
        <w:r w:rsidR="002F2E1A" w:rsidRPr="002F4D64">
          <w:rPr>
            <w:rStyle w:val="Hyperlink"/>
            <w:rFonts w:ascii="Times New Roman" w:hAnsi="Times New Roman"/>
            <w:bCs/>
            <w:sz w:val="20"/>
          </w:rPr>
          <w:t>moreta.pikunic@bolnica-zadar.hr</w:t>
        </w:r>
      </w:hyperlink>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8A6154">
        <w:rPr>
          <w:rFonts w:ascii="Times New Roman" w:hAnsi="Times New Roman"/>
          <w:sz w:val="20"/>
        </w:rPr>
        <w:t>:</w:t>
      </w:r>
      <w:r>
        <w:rPr>
          <w:rFonts w:ascii="Times New Roman" w:hAnsi="Times New Roman"/>
          <w:sz w:val="20"/>
        </w:rPr>
        <w:t xml:space="preserve"> </w:t>
      </w:r>
      <w:r w:rsidR="00734CA3" w:rsidRPr="00734CA3">
        <w:rPr>
          <w:rFonts w:ascii="Times New Roman" w:hAnsi="Times New Roman"/>
          <w:b/>
          <w:sz w:val="20"/>
        </w:rPr>
        <w:t>195</w:t>
      </w:r>
      <w:r w:rsidR="00F660FB" w:rsidRPr="00734CA3">
        <w:rPr>
          <w:rFonts w:ascii="Times New Roman" w:hAnsi="Times New Roman"/>
          <w:b/>
          <w:sz w:val="20"/>
        </w:rPr>
        <w:t>.000,00</w:t>
      </w:r>
      <w:r w:rsidR="00F660FB">
        <w:rPr>
          <w:rFonts w:ascii="Times New Roman" w:hAnsi="Times New Roman"/>
          <w:sz w:val="20"/>
        </w:rPr>
        <w:t xml:space="preserve"> kn bez PDV-a</w:t>
      </w:r>
    </w:p>
    <w:p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92D4E" w:rsidRPr="00F92D4E">
        <w:rPr>
          <w:rFonts w:ascii="Times New Roman" w:hAnsi="Times New Roman"/>
          <w:sz w:val="20"/>
        </w:rPr>
        <w:t>do 180 dana od stupanja ugovora na snagu</w:t>
      </w:r>
      <w:r w:rsidR="00CA19BC" w:rsidRPr="00C16E98">
        <w:rPr>
          <w:rFonts w:ascii="Times New Roman" w:hAnsi="Times New Roman"/>
          <w:sz w:val="20"/>
        </w:rPr>
        <w:t>.</w:t>
      </w:r>
    </w:p>
    <w:p w:rsidR="00BA1634" w:rsidRPr="00086843" w:rsidRDefault="00BA1634" w:rsidP="008B7108">
      <w:pPr>
        <w:rPr>
          <w:rFonts w:ascii="Times New Roman" w:hAnsi="Times New Roman"/>
          <w:sz w:val="20"/>
        </w:rPr>
      </w:pPr>
    </w:p>
    <w:p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BA1634"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F92D4E" w:rsidRPr="00F26F96" w:rsidRDefault="00F92D4E" w:rsidP="00BA1634">
      <w:pPr>
        <w:pStyle w:val="Default"/>
        <w:jc w:val="both"/>
        <w:rPr>
          <w:rFonts w:ascii="Times New Roman" w:hAnsi="Times New Roman" w:cs="Times New Roman"/>
          <w:bCs/>
          <w:color w:val="auto"/>
          <w:sz w:val="20"/>
          <w:szCs w:val="20"/>
        </w:rPr>
      </w:pPr>
    </w:p>
    <w:p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F26F96" w:rsidRDefault="00BA1634" w:rsidP="00BA1634">
      <w:pPr>
        <w:pStyle w:val="Default"/>
        <w:ind w:left="720"/>
        <w:rPr>
          <w:rFonts w:ascii="Times New Roman" w:hAnsi="Times New Roman" w:cs="Times New Roman"/>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F26F96" w:rsidRDefault="00BA1634" w:rsidP="00BA1634">
      <w:pPr>
        <w:pStyle w:val="Default"/>
        <w:rPr>
          <w:rFonts w:ascii="Times New Roman" w:hAnsi="Times New Roman" w:cs="Times New Roman"/>
          <w:color w:val="auto"/>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rPr>
      </w:pPr>
    </w:p>
    <w:p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BA1634" w:rsidRPr="00F26F96" w:rsidRDefault="00BA1634" w:rsidP="00BA1634">
      <w:pPr>
        <w:pStyle w:val="Default"/>
        <w:jc w:val="both"/>
        <w:rPr>
          <w:rFonts w:ascii="Times New Roman" w:hAnsi="Times New Roman" w:cs="Times New Roman"/>
          <w:sz w:val="22"/>
        </w:rPr>
      </w:pPr>
    </w:p>
    <w:p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u Republici Hrvatskoj ili u državi poslovnog nastana gospodarskog subjekta, ako gospodarski subjekt nema poslovni nastan u Republici Hrvatskoj. </w:t>
      </w:r>
    </w:p>
    <w:p w:rsidR="00BA1634" w:rsidRPr="00F26F96" w:rsidRDefault="00BA1634" w:rsidP="00BA1634">
      <w:pPr>
        <w:pStyle w:val="Default"/>
        <w:ind w:left="552"/>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F26F96" w:rsidRDefault="00BA1634" w:rsidP="00BA1634">
      <w:pPr>
        <w:pStyle w:val="Default"/>
        <w:jc w:val="both"/>
        <w:rPr>
          <w:rFonts w:ascii="Times New Roman" w:hAnsi="Times New Roman" w:cs="Times New Roman"/>
          <w:sz w:val="20"/>
          <w:szCs w:val="22"/>
        </w:rPr>
      </w:pPr>
    </w:p>
    <w:p w:rsidR="00BA1634" w:rsidRDefault="00BA1634" w:rsidP="00BA1634">
      <w:pPr>
        <w:ind w:left="-1"/>
        <w:jc w:val="both"/>
        <w:rPr>
          <w:rFonts w:ascii="Times New Roman" w:hAnsi="Times New Roman"/>
          <w:b/>
          <w:bCs/>
          <w:sz w:val="20"/>
          <w:szCs w:val="22"/>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314383" w:rsidRDefault="004653DB" w:rsidP="002D6723">
      <w:pPr>
        <w:spacing w:after="120"/>
        <w:jc w:val="both"/>
        <w:rPr>
          <w:rFonts w:ascii="Times New Roman" w:hAnsi="Times New Roman"/>
          <w:sz w:val="20"/>
        </w:rPr>
      </w:pPr>
    </w:p>
    <w:p w:rsidR="004653DB" w:rsidRPr="00314383" w:rsidRDefault="004653DB" w:rsidP="004653DB">
      <w:pPr>
        <w:ind w:left="426"/>
        <w:jc w:val="both"/>
        <w:rPr>
          <w:rFonts w:ascii="Times New Roman" w:hAnsi="Times New Roman"/>
          <w:sz w:val="20"/>
        </w:rPr>
      </w:pPr>
    </w:p>
    <w:p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rsidR="004653DB"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DA6428" w:rsidRPr="00314383" w:rsidRDefault="00DA6428" w:rsidP="004653DB">
      <w:pPr>
        <w:spacing w:after="120"/>
        <w:ind w:left="360"/>
        <w:jc w:val="both"/>
        <w:rPr>
          <w:rFonts w:ascii="Times New Roman" w:hAnsi="Times New Roman"/>
          <w:sz w:val="20"/>
        </w:rPr>
      </w:pPr>
    </w:p>
    <w:p w:rsidR="004653DB" w:rsidRPr="00314383" w:rsidRDefault="004653DB" w:rsidP="00DA6428">
      <w:pPr>
        <w:autoSpaceDE w:val="0"/>
        <w:autoSpaceDN w:val="0"/>
        <w:adjustRightInd w:val="0"/>
        <w:ind w:left="284"/>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rsidR="004653DB" w:rsidRPr="00314383" w:rsidRDefault="004653DB" w:rsidP="004653DB">
      <w:pPr>
        <w:autoSpaceDE w:val="0"/>
        <w:autoSpaceDN w:val="0"/>
        <w:adjustRightInd w:val="0"/>
        <w:ind w:left="709"/>
        <w:jc w:val="both"/>
        <w:rPr>
          <w:rFonts w:ascii="Times New Roman" w:hAnsi="Times New Roman"/>
          <w:sz w:val="20"/>
        </w:rPr>
      </w:pPr>
    </w:p>
    <w:p w:rsidR="004653DB"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0B2289" w:rsidRPr="00314383" w:rsidRDefault="000B2289" w:rsidP="004653DB">
      <w:pPr>
        <w:autoSpaceDE w:val="0"/>
        <w:autoSpaceDN w:val="0"/>
        <w:adjustRightInd w:val="0"/>
        <w:ind w:left="284"/>
        <w:jc w:val="both"/>
        <w:rPr>
          <w:rFonts w:ascii="Times New Roman" w:hAnsi="Times New Roman"/>
          <w:sz w:val="20"/>
        </w:rPr>
      </w:pPr>
    </w:p>
    <w:p w:rsidR="004653DB" w:rsidRPr="00314383" w:rsidRDefault="000B2289" w:rsidP="000B2289">
      <w:pPr>
        <w:autoSpaceDE w:val="0"/>
        <w:autoSpaceDN w:val="0"/>
        <w:adjustRightInd w:val="0"/>
        <w:jc w:val="both"/>
        <w:rPr>
          <w:rFonts w:ascii="Times New Roman" w:hAnsi="Times New Roman"/>
          <w:sz w:val="20"/>
        </w:rPr>
      </w:pPr>
      <w:proofErr w:type="spellStart"/>
      <w:r>
        <w:rPr>
          <w:rFonts w:ascii="Times New Roman" w:hAnsi="Times New Roman"/>
          <w:b/>
          <w:bCs/>
          <w:iCs/>
          <w:sz w:val="20"/>
          <w:lang w:val="en-US"/>
        </w:rPr>
        <w:t>Financijska</w:t>
      </w:r>
      <w:proofErr w:type="spellEnd"/>
      <w:r>
        <w:rPr>
          <w:rFonts w:ascii="Times New Roman" w:hAnsi="Times New Roman"/>
          <w:b/>
          <w:bCs/>
          <w:iCs/>
          <w:sz w:val="20"/>
          <w:lang w:val="en-US"/>
        </w:rPr>
        <w:t xml:space="preserve"> i </w:t>
      </w:r>
      <w:proofErr w:type="spellStart"/>
      <w:r>
        <w:rPr>
          <w:rFonts w:ascii="Times New Roman" w:hAnsi="Times New Roman"/>
          <w:b/>
          <w:bCs/>
          <w:iCs/>
          <w:sz w:val="20"/>
          <w:lang w:val="en-US"/>
        </w:rPr>
        <w:t>ekonomska</w:t>
      </w:r>
      <w:proofErr w:type="spellEnd"/>
      <w:r>
        <w:rPr>
          <w:rFonts w:ascii="Times New Roman" w:hAnsi="Times New Roman"/>
          <w:b/>
          <w:bCs/>
          <w:iCs/>
          <w:sz w:val="20"/>
          <w:lang w:val="en-US"/>
        </w:rPr>
        <w:t xml:space="preserve"> </w:t>
      </w:r>
      <w:r w:rsidRPr="004B2D27">
        <w:rPr>
          <w:rFonts w:ascii="Times New Roman" w:hAnsi="Times New Roman"/>
          <w:b/>
          <w:bCs/>
          <w:iCs/>
          <w:sz w:val="20"/>
        </w:rPr>
        <w:t xml:space="preserve">sposobnost gospodarskog subjekta (ponuditelja), </w:t>
      </w:r>
      <w:proofErr w:type="gramStart"/>
      <w:r w:rsidRPr="004B2D27">
        <w:rPr>
          <w:rFonts w:ascii="Times New Roman" w:hAnsi="Times New Roman"/>
          <w:b/>
          <w:bCs/>
          <w:iCs/>
          <w:sz w:val="20"/>
        </w:rPr>
        <w:t>te</w:t>
      </w:r>
      <w:proofErr w:type="gramEnd"/>
      <w:r w:rsidRPr="004B2D27">
        <w:rPr>
          <w:rFonts w:ascii="Times New Roman" w:hAnsi="Times New Roman"/>
          <w:b/>
          <w:bCs/>
          <w:iCs/>
          <w:sz w:val="20"/>
        </w:rPr>
        <w:t xml:space="preserve"> dokumenti kojima se dokazuje sposobnost</w:t>
      </w:r>
      <w:r w:rsidRPr="004B2D27">
        <w:rPr>
          <w:rFonts w:ascii="Times New Roman" w:hAnsi="Times New Roman"/>
          <w:sz w:val="20"/>
        </w:rPr>
        <w:t>:</w:t>
      </w:r>
      <w:r>
        <w:rPr>
          <w:rFonts w:ascii="Times New Roman" w:hAnsi="Times New Roman"/>
          <w:sz w:val="20"/>
        </w:rPr>
        <w:t xml:space="preserve"> </w:t>
      </w:r>
      <w:r w:rsidRPr="000B2289">
        <w:rPr>
          <w:rFonts w:ascii="Times New Roman" w:hAnsi="Times New Roman"/>
          <w:b/>
          <w:sz w:val="20"/>
        </w:rPr>
        <w:t>nema.</w:t>
      </w:r>
    </w:p>
    <w:p w:rsidR="000B2289" w:rsidRDefault="000B2289" w:rsidP="004653DB">
      <w:pPr>
        <w:spacing w:after="120"/>
        <w:jc w:val="both"/>
        <w:rPr>
          <w:rFonts w:ascii="Times New Roman" w:hAnsi="Times New Roman"/>
          <w:b/>
          <w:bCs/>
          <w:iCs/>
          <w:sz w:val="20"/>
          <w:lang w:val="en-US"/>
        </w:rPr>
      </w:pPr>
    </w:p>
    <w:p w:rsidR="00CE4146"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 xml:space="preserve">čka i stručna sposobnost gospodarskog subjekta (ponuditelja), </w:t>
      </w:r>
      <w:proofErr w:type="gramStart"/>
      <w:r w:rsidRPr="004B2D27">
        <w:rPr>
          <w:rFonts w:ascii="Times New Roman" w:hAnsi="Times New Roman"/>
          <w:b/>
          <w:bCs/>
          <w:iCs/>
          <w:sz w:val="20"/>
        </w:rPr>
        <w:t>te</w:t>
      </w:r>
      <w:proofErr w:type="gramEnd"/>
      <w:r w:rsidRPr="004B2D27">
        <w:rPr>
          <w:rFonts w:ascii="Times New Roman" w:hAnsi="Times New Roman"/>
          <w:b/>
          <w:bCs/>
          <w:iCs/>
          <w:sz w:val="20"/>
        </w:rPr>
        <w:t xml:space="preserve"> dokumenti kojima se dokazuje sposobnost</w:t>
      </w:r>
      <w:r w:rsidRPr="004B2D27">
        <w:rPr>
          <w:rFonts w:ascii="Times New Roman" w:hAnsi="Times New Roman"/>
          <w:sz w:val="20"/>
        </w:rPr>
        <w:t>:</w:t>
      </w:r>
      <w:r w:rsidR="000B2289">
        <w:rPr>
          <w:rFonts w:ascii="Times New Roman" w:hAnsi="Times New Roman"/>
          <w:sz w:val="20"/>
        </w:rPr>
        <w:t xml:space="preserve"> </w:t>
      </w:r>
    </w:p>
    <w:p w:rsidR="00CE4146" w:rsidRPr="00CE4146" w:rsidRDefault="0040111F" w:rsidP="00CE4146">
      <w:pPr>
        <w:pStyle w:val="t-9-8"/>
        <w:spacing w:before="0" w:after="0"/>
        <w:jc w:val="both"/>
        <w:rPr>
          <w:sz w:val="20"/>
          <w:szCs w:val="20"/>
        </w:rPr>
      </w:pPr>
      <w:r>
        <w:rPr>
          <w:sz w:val="20"/>
          <w:szCs w:val="20"/>
        </w:rPr>
        <w:t xml:space="preserve">1) </w:t>
      </w:r>
      <w:r w:rsidR="00CE4146" w:rsidRPr="00CE4146">
        <w:rPr>
          <w:sz w:val="20"/>
          <w:szCs w:val="20"/>
        </w:rPr>
        <w:t>Ponuditelj, u svrhu dokazivanja tehničke i profesionalne sposobnosti, treba ispunjavati sljedeće minimalne uvjete:</w:t>
      </w:r>
    </w:p>
    <w:p w:rsidR="004653DB" w:rsidRPr="00314383" w:rsidRDefault="00CE4146" w:rsidP="00CE4146">
      <w:pPr>
        <w:spacing w:after="120"/>
        <w:jc w:val="both"/>
        <w:rPr>
          <w:rFonts w:ascii="Times New Roman" w:hAnsi="Times New Roman"/>
          <w:sz w:val="20"/>
        </w:rPr>
      </w:pPr>
      <w:r>
        <w:rPr>
          <w:rFonts w:ascii="Times New Roman" w:hAnsi="Times New Roman"/>
          <w:sz w:val="20"/>
        </w:rPr>
        <w:t xml:space="preserve">- </w:t>
      </w:r>
      <w:r w:rsidRPr="00CE4146">
        <w:rPr>
          <w:rFonts w:ascii="Times New Roman" w:hAnsi="Times New Roman"/>
          <w:sz w:val="20"/>
        </w:rPr>
        <w:t>Ponuditelj mora dokazati da je u 2022. godini i tijekom 3 godine koje prethode toj godini izvršio isporuke usluga koje su iste ili slične predmetu ovog postupka javne nabave u vrijednosti koja nije ispod procijenjene vrijednosti nabave</w:t>
      </w:r>
      <w:r>
        <w:rPr>
          <w:rFonts w:ascii="Times New Roman" w:hAnsi="Times New Roman"/>
          <w:sz w:val="20"/>
        </w:rPr>
        <w:t>.</w:t>
      </w:r>
      <w:r w:rsidR="004653DB" w:rsidRPr="00314383">
        <w:rPr>
          <w:rFonts w:ascii="Times New Roman" w:hAnsi="Times New Roman"/>
          <w:sz w:val="20"/>
        </w:rPr>
        <w:t xml:space="preserve">                   </w:t>
      </w:r>
    </w:p>
    <w:p w:rsidR="0040111F" w:rsidRPr="0040111F" w:rsidRDefault="0040111F" w:rsidP="0040111F">
      <w:pPr>
        <w:autoSpaceDE w:val="0"/>
        <w:autoSpaceDN w:val="0"/>
        <w:adjustRightInd w:val="0"/>
        <w:ind w:left="284"/>
        <w:jc w:val="both"/>
        <w:rPr>
          <w:rFonts w:ascii="Times New Roman" w:hAnsi="Times New Roman"/>
          <w:sz w:val="20"/>
        </w:rPr>
      </w:pPr>
      <w:r w:rsidRPr="0040111F">
        <w:rPr>
          <w:rFonts w:ascii="Times New Roman" w:hAnsi="Times New Roman"/>
          <w:sz w:val="20"/>
        </w:rPr>
        <w:t>U svrhu dokazivanja uvjeta iz to</w:t>
      </w:r>
      <w:r w:rsidRPr="0040111F">
        <w:rPr>
          <w:rFonts w:ascii="Times New Roman" w:hAnsi="Times New Roman" w:hint="eastAsia"/>
          <w:sz w:val="20"/>
        </w:rPr>
        <w:t>č</w:t>
      </w:r>
      <w:r w:rsidRPr="0040111F">
        <w:rPr>
          <w:rFonts w:ascii="Times New Roman" w:hAnsi="Times New Roman"/>
          <w:sz w:val="20"/>
        </w:rPr>
        <w:t xml:space="preserve">ke </w:t>
      </w:r>
      <w:r w:rsidR="00041993">
        <w:rPr>
          <w:rFonts w:ascii="Times New Roman" w:hAnsi="Times New Roman"/>
          <w:sz w:val="20"/>
        </w:rPr>
        <w:t>1</w:t>
      </w:r>
      <w:r w:rsidRPr="0040111F">
        <w:rPr>
          <w:rFonts w:ascii="Times New Roman" w:hAnsi="Times New Roman"/>
          <w:sz w:val="20"/>
        </w:rPr>
        <w:t>) ponuditelj je du</w:t>
      </w:r>
      <w:r w:rsidRPr="0040111F">
        <w:rPr>
          <w:rFonts w:ascii="Times New Roman" w:hAnsi="Times New Roman" w:hint="eastAsia"/>
          <w:sz w:val="20"/>
        </w:rPr>
        <w:t>ž</w:t>
      </w:r>
      <w:r w:rsidRPr="0040111F">
        <w:rPr>
          <w:rFonts w:ascii="Times New Roman" w:hAnsi="Times New Roman"/>
          <w:sz w:val="20"/>
        </w:rPr>
        <w:t>an dostaviti slijede</w:t>
      </w:r>
      <w:r w:rsidRPr="0040111F">
        <w:rPr>
          <w:rFonts w:ascii="Times New Roman" w:hAnsi="Times New Roman" w:hint="eastAsia"/>
          <w:sz w:val="20"/>
        </w:rPr>
        <w:t>ć</w:t>
      </w:r>
      <w:r w:rsidRPr="0040111F">
        <w:rPr>
          <w:rFonts w:ascii="Times New Roman" w:hAnsi="Times New Roman"/>
          <w:sz w:val="20"/>
        </w:rPr>
        <w:t>e dokaze:</w:t>
      </w:r>
    </w:p>
    <w:p w:rsidR="00041993" w:rsidRDefault="00041993" w:rsidP="0040111F">
      <w:pPr>
        <w:autoSpaceDE w:val="0"/>
        <w:autoSpaceDN w:val="0"/>
        <w:adjustRightInd w:val="0"/>
        <w:ind w:left="284"/>
        <w:jc w:val="both"/>
        <w:rPr>
          <w:rFonts w:ascii="Times New Roman" w:hAnsi="Times New Roman"/>
          <w:sz w:val="20"/>
        </w:rPr>
      </w:pPr>
      <w:r>
        <w:rPr>
          <w:rFonts w:ascii="Times New Roman" w:hAnsi="Times New Roman"/>
          <w:sz w:val="20"/>
        </w:rPr>
        <w:t>-</w:t>
      </w:r>
      <w:r w:rsidR="0040111F" w:rsidRPr="0040111F">
        <w:rPr>
          <w:rFonts w:ascii="Times New Roman" w:hAnsi="Times New Roman"/>
          <w:sz w:val="20"/>
        </w:rPr>
        <w:t xml:space="preserve">  spisak izvr</w:t>
      </w:r>
      <w:r w:rsidR="0040111F" w:rsidRPr="0040111F">
        <w:rPr>
          <w:rFonts w:ascii="Times New Roman" w:hAnsi="Times New Roman" w:hint="eastAsia"/>
          <w:sz w:val="20"/>
        </w:rPr>
        <w:t>š</w:t>
      </w:r>
      <w:r w:rsidR="0040111F" w:rsidRPr="0040111F">
        <w:rPr>
          <w:rFonts w:ascii="Times New Roman" w:hAnsi="Times New Roman"/>
          <w:sz w:val="20"/>
        </w:rPr>
        <w:t>enih implementacija koji sa</w:t>
      </w:r>
      <w:r w:rsidR="0040111F" w:rsidRPr="0040111F">
        <w:rPr>
          <w:rFonts w:ascii="Times New Roman" w:hAnsi="Times New Roman" w:hint="eastAsia"/>
          <w:sz w:val="20"/>
        </w:rPr>
        <w:t>č</w:t>
      </w:r>
      <w:r w:rsidR="0040111F" w:rsidRPr="0040111F">
        <w:rPr>
          <w:rFonts w:ascii="Times New Roman" w:hAnsi="Times New Roman"/>
          <w:sz w:val="20"/>
        </w:rPr>
        <w:t xml:space="preserve">injava sam ponuditelj, na svom poslovnom papiru/ memorandumu </w:t>
      </w:r>
    </w:p>
    <w:p w:rsidR="00041993" w:rsidRDefault="00041993" w:rsidP="0040111F">
      <w:pPr>
        <w:autoSpaceDE w:val="0"/>
        <w:autoSpaceDN w:val="0"/>
        <w:adjustRightInd w:val="0"/>
        <w:ind w:left="284"/>
        <w:jc w:val="both"/>
        <w:rPr>
          <w:rFonts w:ascii="Times New Roman" w:hAnsi="Times New Roman"/>
          <w:sz w:val="20"/>
        </w:rPr>
      </w:pPr>
    </w:p>
    <w:p w:rsidR="0040111F" w:rsidRPr="0040111F" w:rsidRDefault="0040111F" w:rsidP="0040111F">
      <w:pPr>
        <w:autoSpaceDE w:val="0"/>
        <w:autoSpaceDN w:val="0"/>
        <w:adjustRightInd w:val="0"/>
        <w:ind w:left="284"/>
        <w:jc w:val="both"/>
        <w:rPr>
          <w:rFonts w:ascii="Times New Roman" w:hAnsi="Times New Roman"/>
          <w:sz w:val="20"/>
        </w:rPr>
      </w:pPr>
      <w:r w:rsidRPr="0040111F">
        <w:rPr>
          <w:rFonts w:ascii="Times New Roman" w:hAnsi="Times New Roman"/>
          <w:sz w:val="20"/>
        </w:rPr>
        <w:t xml:space="preserve"> </w:t>
      </w:r>
    </w:p>
    <w:p w:rsidR="0040111F" w:rsidRPr="0040111F" w:rsidRDefault="0040111F" w:rsidP="00041993">
      <w:pPr>
        <w:autoSpaceDE w:val="0"/>
        <w:autoSpaceDN w:val="0"/>
        <w:adjustRightInd w:val="0"/>
        <w:jc w:val="both"/>
        <w:rPr>
          <w:rFonts w:ascii="Times New Roman" w:hAnsi="Times New Roman"/>
          <w:sz w:val="20"/>
        </w:rPr>
      </w:pPr>
      <w:r w:rsidRPr="0040111F">
        <w:rPr>
          <w:rFonts w:ascii="Times New Roman" w:hAnsi="Times New Roman"/>
          <w:sz w:val="20"/>
        </w:rPr>
        <w:t>2</w:t>
      </w:r>
      <w:r w:rsidR="00041993">
        <w:rPr>
          <w:rFonts w:ascii="Times New Roman" w:hAnsi="Times New Roman"/>
          <w:sz w:val="20"/>
        </w:rPr>
        <w:t>)</w:t>
      </w:r>
      <w:r w:rsidRPr="0040111F">
        <w:rPr>
          <w:rFonts w:ascii="Times New Roman" w:hAnsi="Times New Roman"/>
          <w:sz w:val="20"/>
        </w:rPr>
        <w:t xml:space="preserve"> Gospodarski subjekt mora biti ovla</w:t>
      </w:r>
      <w:r w:rsidRPr="0040111F">
        <w:rPr>
          <w:rFonts w:ascii="Times New Roman" w:hAnsi="Times New Roman" w:hint="eastAsia"/>
          <w:sz w:val="20"/>
        </w:rPr>
        <w:t>š</w:t>
      </w:r>
      <w:r w:rsidRPr="0040111F">
        <w:rPr>
          <w:rFonts w:ascii="Times New Roman" w:hAnsi="Times New Roman"/>
          <w:sz w:val="20"/>
        </w:rPr>
        <w:t xml:space="preserve">ten za obavljanje predmetne nabave u RH </w:t>
      </w:r>
    </w:p>
    <w:p w:rsidR="004653DB" w:rsidRPr="00314383" w:rsidRDefault="00041993" w:rsidP="0040111F">
      <w:pPr>
        <w:autoSpaceDE w:val="0"/>
        <w:autoSpaceDN w:val="0"/>
        <w:adjustRightInd w:val="0"/>
        <w:ind w:left="284"/>
        <w:jc w:val="both"/>
        <w:rPr>
          <w:rFonts w:ascii="Times New Roman" w:hAnsi="Times New Roman"/>
          <w:sz w:val="20"/>
        </w:rPr>
      </w:pPr>
      <w:r w:rsidRPr="0040111F">
        <w:rPr>
          <w:rFonts w:ascii="Times New Roman" w:hAnsi="Times New Roman"/>
          <w:sz w:val="20"/>
        </w:rPr>
        <w:lastRenderedPageBreak/>
        <w:t>U svrhu dokazivanja uvjeta iz to</w:t>
      </w:r>
      <w:r w:rsidRPr="0040111F">
        <w:rPr>
          <w:rFonts w:ascii="Times New Roman" w:hAnsi="Times New Roman" w:hint="eastAsia"/>
          <w:sz w:val="20"/>
        </w:rPr>
        <w:t>č</w:t>
      </w:r>
      <w:r w:rsidRPr="0040111F">
        <w:rPr>
          <w:rFonts w:ascii="Times New Roman" w:hAnsi="Times New Roman"/>
          <w:sz w:val="20"/>
        </w:rPr>
        <w:t xml:space="preserve">ke </w:t>
      </w:r>
      <w:r>
        <w:rPr>
          <w:rFonts w:ascii="Times New Roman" w:hAnsi="Times New Roman"/>
          <w:sz w:val="20"/>
        </w:rPr>
        <w:t>2</w:t>
      </w:r>
      <w:r w:rsidRPr="0040111F">
        <w:rPr>
          <w:rFonts w:ascii="Times New Roman" w:hAnsi="Times New Roman"/>
          <w:sz w:val="20"/>
        </w:rPr>
        <w:t xml:space="preserve">) </w:t>
      </w:r>
      <w:r w:rsidR="0040111F" w:rsidRPr="0040111F">
        <w:rPr>
          <w:rFonts w:ascii="Times New Roman" w:hAnsi="Times New Roman"/>
          <w:sz w:val="20"/>
        </w:rPr>
        <w:t>Ponuditelj je du</w:t>
      </w:r>
      <w:r w:rsidR="0040111F" w:rsidRPr="0040111F">
        <w:rPr>
          <w:rFonts w:ascii="Times New Roman" w:hAnsi="Times New Roman" w:hint="eastAsia"/>
          <w:sz w:val="20"/>
        </w:rPr>
        <w:t>ž</w:t>
      </w:r>
      <w:r w:rsidR="0040111F" w:rsidRPr="0040111F">
        <w:rPr>
          <w:rFonts w:ascii="Times New Roman" w:hAnsi="Times New Roman"/>
          <w:sz w:val="20"/>
        </w:rPr>
        <w:t>an u ponudi dostaviti dokaz, odnosno Izjavu proizvo</w:t>
      </w:r>
      <w:r w:rsidR="0040111F" w:rsidRPr="0040111F">
        <w:rPr>
          <w:rFonts w:ascii="Times New Roman" w:hAnsi="Times New Roman" w:hint="eastAsia"/>
          <w:sz w:val="20"/>
        </w:rPr>
        <w:t>đ</w:t>
      </w:r>
      <w:r w:rsidR="0040111F" w:rsidRPr="0040111F">
        <w:rPr>
          <w:rFonts w:ascii="Times New Roman" w:hAnsi="Times New Roman"/>
          <w:sz w:val="20"/>
        </w:rPr>
        <w:t>a</w:t>
      </w:r>
      <w:r w:rsidR="0040111F" w:rsidRPr="0040111F">
        <w:rPr>
          <w:rFonts w:ascii="Times New Roman" w:hAnsi="Times New Roman" w:hint="eastAsia"/>
          <w:sz w:val="20"/>
        </w:rPr>
        <w:t>č</w:t>
      </w:r>
      <w:r w:rsidR="0040111F" w:rsidRPr="0040111F">
        <w:rPr>
          <w:rFonts w:ascii="Times New Roman" w:hAnsi="Times New Roman"/>
          <w:sz w:val="20"/>
        </w:rPr>
        <w:t>a licenci i programskog rje</w:t>
      </w:r>
      <w:r w:rsidR="0040111F" w:rsidRPr="0040111F">
        <w:rPr>
          <w:rFonts w:ascii="Times New Roman" w:hAnsi="Times New Roman" w:hint="eastAsia"/>
          <w:sz w:val="20"/>
        </w:rPr>
        <w:t>š</w:t>
      </w:r>
      <w:r w:rsidR="0040111F" w:rsidRPr="0040111F">
        <w:rPr>
          <w:rFonts w:ascii="Times New Roman" w:hAnsi="Times New Roman"/>
          <w:sz w:val="20"/>
        </w:rPr>
        <w:t xml:space="preserve">enja IBIS-a koji je u funkciji u </w:t>
      </w:r>
      <w:r>
        <w:rPr>
          <w:rFonts w:ascii="Times New Roman" w:hAnsi="Times New Roman"/>
          <w:sz w:val="20"/>
        </w:rPr>
        <w:t>OB Zadar</w:t>
      </w:r>
      <w:r w:rsidR="0040111F" w:rsidRPr="0040111F">
        <w:rPr>
          <w:rFonts w:ascii="Times New Roman" w:hAnsi="Times New Roman"/>
          <w:sz w:val="20"/>
        </w:rPr>
        <w:t xml:space="preserve"> kojom se potvr</w:t>
      </w:r>
      <w:r w:rsidR="0040111F" w:rsidRPr="0040111F">
        <w:rPr>
          <w:rFonts w:ascii="Times New Roman" w:hAnsi="Times New Roman" w:hint="eastAsia"/>
          <w:sz w:val="20"/>
        </w:rPr>
        <w:t>đ</w:t>
      </w:r>
      <w:r w:rsidR="0040111F" w:rsidRPr="0040111F">
        <w:rPr>
          <w:rFonts w:ascii="Times New Roman" w:hAnsi="Times New Roman"/>
          <w:sz w:val="20"/>
        </w:rPr>
        <w:t>uje da je ponuditelj jedini autorizirani subjekt na tr</w:t>
      </w:r>
      <w:r w:rsidR="0040111F" w:rsidRPr="0040111F">
        <w:rPr>
          <w:rFonts w:ascii="Times New Roman" w:hAnsi="Times New Roman" w:hint="eastAsia"/>
          <w:sz w:val="20"/>
        </w:rPr>
        <w:t>ž</w:t>
      </w:r>
      <w:r w:rsidR="0040111F" w:rsidRPr="0040111F">
        <w:rPr>
          <w:rFonts w:ascii="Times New Roman" w:hAnsi="Times New Roman"/>
          <w:sz w:val="20"/>
        </w:rPr>
        <w:t>i</w:t>
      </w:r>
      <w:r w:rsidR="0040111F" w:rsidRPr="0040111F">
        <w:rPr>
          <w:rFonts w:ascii="Times New Roman" w:hAnsi="Times New Roman" w:hint="eastAsia"/>
          <w:sz w:val="20"/>
        </w:rPr>
        <w:t>š</w:t>
      </w:r>
      <w:r w:rsidR="0040111F" w:rsidRPr="0040111F">
        <w:rPr>
          <w:rFonts w:ascii="Times New Roman" w:hAnsi="Times New Roman"/>
          <w:sz w:val="20"/>
        </w:rPr>
        <w:t>tu za isporuku licence proizvo</w:t>
      </w:r>
      <w:r w:rsidR="0040111F" w:rsidRPr="0040111F">
        <w:rPr>
          <w:rFonts w:ascii="Times New Roman" w:hAnsi="Times New Roman" w:hint="eastAsia"/>
          <w:sz w:val="20"/>
        </w:rPr>
        <w:t>đ</w:t>
      </w:r>
      <w:r w:rsidR="0040111F" w:rsidRPr="0040111F">
        <w:rPr>
          <w:rFonts w:ascii="Times New Roman" w:hAnsi="Times New Roman"/>
          <w:sz w:val="20"/>
        </w:rPr>
        <w:t>a</w:t>
      </w:r>
      <w:r w:rsidR="0040111F" w:rsidRPr="0040111F">
        <w:rPr>
          <w:rFonts w:ascii="Times New Roman" w:hAnsi="Times New Roman" w:hint="eastAsia"/>
          <w:sz w:val="20"/>
        </w:rPr>
        <w:t>č</w:t>
      </w:r>
      <w:r w:rsidR="0040111F" w:rsidRPr="0040111F">
        <w:rPr>
          <w:rFonts w:ascii="Times New Roman" w:hAnsi="Times New Roman"/>
          <w:sz w:val="20"/>
        </w:rPr>
        <w:t xml:space="preserve">a </w:t>
      </w:r>
      <w:r w:rsidR="0040111F" w:rsidRPr="0040111F">
        <w:rPr>
          <w:rFonts w:ascii="Times New Roman" w:hAnsi="Times New Roman" w:hint="eastAsia"/>
          <w:sz w:val="20"/>
        </w:rPr>
        <w:t>„</w:t>
      </w:r>
      <w:r w:rsidR="0040111F" w:rsidRPr="0040111F">
        <w:rPr>
          <w:rFonts w:ascii="Times New Roman" w:hAnsi="Times New Roman"/>
          <w:sz w:val="20"/>
        </w:rPr>
        <w:t>IN2</w:t>
      </w:r>
      <w:r w:rsidR="0040111F" w:rsidRPr="0040111F">
        <w:rPr>
          <w:rFonts w:ascii="Times New Roman" w:hAnsi="Times New Roman" w:hint="eastAsia"/>
          <w:sz w:val="20"/>
        </w:rPr>
        <w:t>“</w:t>
      </w:r>
      <w:r w:rsidR="0040111F" w:rsidRPr="0040111F">
        <w:rPr>
          <w:rFonts w:ascii="Times New Roman" w:hAnsi="Times New Roman"/>
          <w:sz w:val="20"/>
        </w:rPr>
        <w:t xml:space="preserve"> d.o.o. i ovla</w:t>
      </w:r>
      <w:r w:rsidR="0040111F" w:rsidRPr="0040111F">
        <w:rPr>
          <w:rFonts w:ascii="Times New Roman" w:hAnsi="Times New Roman" w:hint="eastAsia"/>
          <w:sz w:val="20"/>
        </w:rPr>
        <w:t>š</w:t>
      </w:r>
      <w:r w:rsidR="0040111F" w:rsidRPr="0040111F">
        <w:rPr>
          <w:rFonts w:ascii="Times New Roman" w:hAnsi="Times New Roman"/>
          <w:sz w:val="20"/>
        </w:rPr>
        <w:t>teni pru</w:t>
      </w:r>
      <w:r w:rsidR="0040111F" w:rsidRPr="0040111F">
        <w:rPr>
          <w:rFonts w:ascii="Times New Roman" w:hAnsi="Times New Roman" w:hint="eastAsia"/>
          <w:sz w:val="20"/>
        </w:rPr>
        <w:t>ž</w:t>
      </w:r>
      <w:r w:rsidR="0040111F" w:rsidRPr="0040111F">
        <w:rPr>
          <w:rFonts w:ascii="Times New Roman" w:hAnsi="Times New Roman"/>
          <w:sz w:val="20"/>
        </w:rPr>
        <w:t>atelj usluge odr</w:t>
      </w:r>
      <w:r w:rsidR="0040111F" w:rsidRPr="0040111F">
        <w:rPr>
          <w:rFonts w:ascii="Times New Roman" w:hAnsi="Times New Roman" w:hint="eastAsia"/>
          <w:sz w:val="20"/>
        </w:rPr>
        <w:t>ž</w:t>
      </w:r>
      <w:r w:rsidR="0040111F" w:rsidRPr="0040111F">
        <w:rPr>
          <w:rFonts w:ascii="Times New Roman" w:hAnsi="Times New Roman"/>
          <w:sz w:val="20"/>
        </w:rPr>
        <w:t>avanja i nadogradnje za proizvode Integriranog bolni</w:t>
      </w:r>
      <w:r w:rsidR="0040111F" w:rsidRPr="0040111F">
        <w:rPr>
          <w:rFonts w:ascii="Times New Roman" w:hAnsi="Times New Roman" w:hint="eastAsia"/>
          <w:sz w:val="20"/>
        </w:rPr>
        <w:t>č</w:t>
      </w:r>
      <w:r w:rsidR="0040111F" w:rsidRPr="0040111F">
        <w:rPr>
          <w:rFonts w:ascii="Times New Roman" w:hAnsi="Times New Roman"/>
          <w:sz w:val="20"/>
        </w:rPr>
        <w:t>kog informacijskog sustava (IBIS) u Republici Hrvatskoj, original ili ovjerena preslika, (mo</w:t>
      </w:r>
      <w:r w:rsidR="0040111F" w:rsidRPr="0040111F">
        <w:rPr>
          <w:rFonts w:ascii="Times New Roman" w:hAnsi="Times New Roman" w:hint="eastAsia"/>
          <w:sz w:val="20"/>
        </w:rPr>
        <w:t>ž</w:t>
      </w:r>
      <w:r w:rsidR="0040111F" w:rsidRPr="0040111F">
        <w:rPr>
          <w:rFonts w:ascii="Times New Roman" w:hAnsi="Times New Roman"/>
          <w:sz w:val="20"/>
        </w:rPr>
        <w:t>e biti dostavljeno na engleskom jeziku ili hrvatskom jeziku).</w:t>
      </w:r>
    </w:p>
    <w:p w:rsidR="00BB6445" w:rsidRDefault="00BB6445" w:rsidP="00E15A71">
      <w:pPr>
        <w:spacing w:after="120"/>
        <w:jc w:val="both"/>
        <w:rPr>
          <w:rFonts w:ascii="Times New Roman" w:hAnsi="Times New Roman"/>
          <w:sz w:val="20"/>
        </w:rPr>
      </w:pPr>
    </w:p>
    <w:p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rsidR="004653DB" w:rsidRPr="00314383" w:rsidRDefault="00BB6445" w:rsidP="00095521">
      <w:pPr>
        <w:autoSpaceDE w:val="0"/>
        <w:autoSpaceDN w:val="0"/>
        <w:adjustRightInd w:val="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rsidR="004653DB" w:rsidRPr="00086843" w:rsidRDefault="004653DB" w:rsidP="008B7108">
      <w:pPr>
        <w:jc w:val="both"/>
        <w:rPr>
          <w:rFonts w:ascii="Times New Roman" w:hAnsi="Times New Roman"/>
          <w:sz w:val="20"/>
        </w:rPr>
      </w:pPr>
    </w:p>
    <w:p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r w:rsidR="00095521">
        <w:rPr>
          <w:rFonts w:ascii="Times New Roman" w:hAnsi="Times New Roman"/>
          <w:sz w:val="20"/>
        </w:rPr>
        <w:t>.</w:t>
      </w:r>
    </w:p>
    <w:p w:rsidR="00095521" w:rsidRPr="00086843" w:rsidRDefault="00095521" w:rsidP="00FF4C0A">
      <w:pPr>
        <w:spacing w:after="120"/>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rsidR="00C3535B" w:rsidRPr="00086843" w:rsidRDefault="00C3535B" w:rsidP="00C3535B">
      <w:pPr>
        <w:ind w:left="1146"/>
        <w:rPr>
          <w:rFonts w:ascii="Times New Roman" w:hAnsi="Times New Roman"/>
          <w:b/>
          <w:sz w:val="20"/>
        </w:rPr>
      </w:pPr>
    </w:p>
    <w:p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rsidR="00C3535B" w:rsidRPr="00086843" w:rsidRDefault="00C3535B" w:rsidP="00B44FB0">
      <w:pPr>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rsidR="00B44FB0" w:rsidRPr="00086843" w:rsidRDefault="00B44FB0" w:rsidP="00B44FB0">
      <w:pPr>
        <w:ind w:left="786"/>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rsidR="00B44FB0" w:rsidRPr="00086843" w:rsidRDefault="00B44FB0" w:rsidP="00B44FB0">
      <w:pPr>
        <w:jc w:val="both"/>
        <w:rPr>
          <w:rFonts w:ascii="Times New Roman" w:hAnsi="Times New Roman"/>
          <w:sz w:val="20"/>
        </w:rPr>
      </w:pPr>
    </w:p>
    <w:p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rsidR="00B44FB0" w:rsidRPr="00086843" w:rsidRDefault="00B44FB0" w:rsidP="00B44FB0">
      <w:pPr>
        <w:tabs>
          <w:tab w:val="left" w:pos="3900"/>
        </w:tabs>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rsidR="0093689A" w:rsidRPr="00086843" w:rsidRDefault="0093689A" w:rsidP="0093689A">
      <w:pPr>
        <w:tabs>
          <w:tab w:val="left" w:pos="3900"/>
        </w:tabs>
        <w:jc w:val="both"/>
        <w:rPr>
          <w:rFonts w:ascii="Times New Roman" w:hAnsi="Times New Roman"/>
          <w:sz w:val="20"/>
        </w:rPr>
      </w:pPr>
    </w:p>
    <w:p w:rsidR="0093689A" w:rsidRDefault="0093689A" w:rsidP="0093689A">
      <w:pPr>
        <w:jc w:val="both"/>
        <w:rPr>
          <w:rFonts w:ascii="Times New Roman" w:hAnsi="Times New Roman"/>
          <w:sz w:val="20"/>
        </w:rPr>
      </w:pPr>
      <w:r>
        <w:rPr>
          <w:rFonts w:ascii="Times New Roman" w:hAnsi="Times New Roman"/>
          <w:sz w:val="20"/>
        </w:rPr>
        <w:t>CIJENA PONUDE</w:t>
      </w:r>
      <w:r w:rsidRPr="0093689A">
        <w:rPr>
          <w:rFonts w:ascii="Times New Roman" w:hAnsi="Times New Roman"/>
          <w:sz w:val="20"/>
        </w:rPr>
        <w:t>: u cijenu ponude bez PDV ura</w:t>
      </w:r>
      <w:r w:rsidRPr="0093689A">
        <w:rPr>
          <w:rFonts w:ascii="Times New Roman" w:hAnsi="Times New Roman" w:hint="eastAsia"/>
          <w:sz w:val="20"/>
        </w:rPr>
        <w:t>č</w:t>
      </w:r>
      <w:r w:rsidRPr="0093689A">
        <w:rPr>
          <w:rFonts w:ascii="Times New Roman" w:hAnsi="Times New Roman"/>
          <w:sz w:val="20"/>
        </w:rPr>
        <w:t>unavaju se svi tro</w:t>
      </w:r>
      <w:r w:rsidRPr="0093689A">
        <w:rPr>
          <w:rFonts w:ascii="Times New Roman" w:hAnsi="Times New Roman" w:hint="eastAsia"/>
          <w:sz w:val="20"/>
        </w:rPr>
        <w:t>š</w:t>
      </w:r>
      <w:r w:rsidRPr="0093689A">
        <w:rPr>
          <w:rFonts w:ascii="Times New Roman" w:hAnsi="Times New Roman"/>
          <w:sz w:val="20"/>
        </w:rPr>
        <w:t>kovi i popusti ponuditelja; cijenu ponude potrebno je prikazati na na</w:t>
      </w:r>
      <w:r w:rsidRPr="0093689A">
        <w:rPr>
          <w:rFonts w:ascii="Times New Roman" w:hAnsi="Times New Roman" w:hint="eastAsia"/>
          <w:sz w:val="20"/>
        </w:rPr>
        <w:t>č</w:t>
      </w:r>
      <w:r w:rsidRPr="0093689A">
        <w:rPr>
          <w:rFonts w:ascii="Times New Roman" w:hAnsi="Times New Roman"/>
          <w:sz w:val="20"/>
        </w:rPr>
        <w:t>in da se iska</w:t>
      </w:r>
      <w:r w:rsidRPr="0093689A">
        <w:rPr>
          <w:rFonts w:ascii="Times New Roman" w:hAnsi="Times New Roman" w:hint="eastAsia"/>
          <w:sz w:val="20"/>
        </w:rPr>
        <w:t>ž</w:t>
      </w:r>
      <w:r w:rsidRPr="0093689A">
        <w:rPr>
          <w:rFonts w:ascii="Times New Roman" w:hAnsi="Times New Roman"/>
          <w:sz w:val="20"/>
        </w:rPr>
        <w:t>e redom: cijena ponude bez PDV, iznos PDV, te cijena ponude sa PDV</w:t>
      </w:r>
      <w:r w:rsidRPr="00086843">
        <w:rPr>
          <w:rFonts w:ascii="Times New Roman" w:hAnsi="Times New Roman"/>
          <w:sz w:val="20"/>
        </w:rPr>
        <w:t>.</w:t>
      </w:r>
    </w:p>
    <w:p w:rsidR="0093689A" w:rsidRDefault="0093689A"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rsidR="003F7A56" w:rsidRDefault="003F7A56" w:rsidP="00B44FB0">
      <w:pPr>
        <w:jc w:val="both"/>
        <w:rPr>
          <w:rFonts w:ascii="Times New Roman" w:hAnsi="Times New Roman"/>
          <w:sz w:val="20"/>
        </w:rPr>
      </w:pPr>
    </w:p>
    <w:p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w:t>
      </w:r>
      <w:r w:rsidRPr="00BB5FBF">
        <w:rPr>
          <w:rFonts w:ascii="Times New Roman" w:hAnsi="Times New Roman"/>
          <w:sz w:val="20"/>
        </w:rPr>
        <w:t xml:space="preserve">: </w:t>
      </w:r>
      <w:r w:rsidR="000558A2" w:rsidRPr="00BB5FBF">
        <w:rPr>
          <w:rFonts w:ascii="Times New Roman" w:hAnsi="Times New Roman"/>
          <w:b/>
          <w:sz w:val="20"/>
        </w:rPr>
        <w:t>ne traže se</w:t>
      </w:r>
      <w:r w:rsidRPr="00BB5FBF">
        <w:rPr>
          <w:rFonts w:ascii="Times New Roman" w:hAnsi="Times New Roman"/>
          <w:b/>
          <w:sz w:val="20"/>
        </w:rPr>
        <w:t>.</w:t>
      </w: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8204D2" w:rsidRPr="00DA4CDE" w:rsidRDefault="008204D2" w:rsidP="008204D2">
      <w:pPr>
        <w:jc w:val="center"/>
        <w:rPr>
          <w:b/>
        </w:rPr>
      </w:pPr>
      <w:r w:rsidRPr="00DA4CDE">
        <w:rPr>
          <w:b/>
        </w:rPr>
        <w:lastRenderedPageBreak/>
        <w:t>IZJAVA O NEKAŽNJAVANJU</w:t>
      </w:r>
    </w:p>
    <w:p w:rsidR="008204D2" w:rsidRDefault="008204D2" w:rsidP="008204D2"/>
    <w:p w:rsidR="008204D2" w:rsidRDefault="008204D2" w:rsidP="008204D2">
      <w:pPr>
        <w:jc w:val="both"/>
      </w:pPr>
      <w:r>
        <w:t xml:space="preserve">Ja,_____________________________ iz ______________________________________________,  </w:t>
      </w:r>
    </w:p>
    <w:p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rsidR="008204D2" w:rsidRPr="00D860A9" w:rsidRDefault="008204D2" w:rsidP="008204D2">
      <w:pPr>
        <w:jc w:val="both"/>
        <w:rPr>
          <w:sz w:val="18"/>
          <w:szCs w:val="18"/>
        </w:rPr>
      </w:pPr>
      <w:r>
        <w:t xml:space="preserve">                                                                         </w:t>
      </w:r>
      <w:r w:rsidRPr="00D860A9">
        <w:rPr>
          <w:sz w:val="18"/>
          <w:szCs w:val="18"/>
        </w:rPr>
        <w:t>(naziv gospodarskog subjekta)</w:t>
      </w:r>
    </w:p>
    <w:p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rsidR="008204D2" w:rsidRPr="00DA4CDE" w:rsidRDefault="008204D2" w:rsidP="008204D2">
      <w:pPr>
        <w:numPr>
          <w:ilvl w:val="1"/>
          <w:numId w:val="28"/>
        </w:numPr>
        <w:jc w:val="both"/>
        <w:rPr>
          <w:sz w:val="20"/>
        </w:rPr>
      </w:pPr>
      <w:r w:rsidRPr="00DA4CDE">
        <w:rPr>
          <w:sz w:val="20"/>
        </w:rPr>
        <w:t xml:space="preserve">korupciju, na temelju </w:t>
      </w:r>
    </w:p>
    <w:p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204D2" w:rsidRPr="00DA4CDE" w:rsidRDefault="008204D2" w:rsidP="008204D2">
      <w:pPr>
        <w:numPr>
          <w:ilvl w:val="1"/>
          <w:numId w:val="28"/>
        </w:numPr>
        <w:jc w:val="both"/>
        <w:rPr>
          <w:sz w:val="20"/>
        </w:rPr>
      </w:pPr>
      <w:r w:rsidRPr="00DA4CDE">
        <w:rPr>
          <w:sz w:val="20"/>
        </w:rPr>
        <w:t xml:space="preserve">prijevaru, na temelju </w:t>
      </w:r>
    </w:p>
    <w:p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pranje novca ili financiranje terorizma, na temelju</w:t>
      </w:r>
    </w:p>
    <w:p w:rsidR="008204D2" w:rsidRPr="00DA4CDE" w:rsidRDefault="008204D2" w:rsidP="008204D2">
      <w:pPr>
        <w:ind w:left="360"/>
        <w:jc w:val="both"/>
        <w:rPr>
          <w:sz w:val="20"/>
        </w:rPr>
      </w:pPr>
      <w:r w:rsidRPr="00DA4CDE">
        <w:rPr>
          <w:sz w:val="20"/>
        </w:rPr>
        <w:t xml:space="preserve"> – članka 98. (financiranje terorizma) i članka 265. (pranje novca) Kaznenog zakona</w:t>
      </w:r>
    </w:p>
    <w:p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dječji rad ili druge oblike trgovanja ljudima, na temelju</w:t>
      </w:r>
    </w:p>
    <w:p w:rsidR="008204D2" w:rsidRPr="00DA4CDE" w:rsidRDefault="008204D2" w:rsidP="008204D2">
      <w:pPr>
        <w:ind w:left="360"/>
        <w:jc w:val="both"/>
        <w:rPr>
          <w:sz w:val="20"/>
        </w:rPr>
      </w:pPr>
      <w:r w:rsidRPr="00DA4CDE">
        <w:rPr>
          <w:sz w:val="20"/>
        </w:rPr>
        <w:t xml:space="preserve"> – članka 106. (trgovanje ljudima) Kaznenog zakona </w:t>
      </w:r>
    </w:p>
    <w:p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rsidR="008204D2" w:rsidRDefault="008204D2" w:rsidP="008204D2">
      <w:pPr>
        <w:jc w:val="center"/>
        <w:rPr>
          <w:sz w:val="20"/>
        </w:rPr>
      </w:pPr>
      <w:r>
        <w:t xml:space="preserve">                                                                                              </w:t>
      </w:r>
      <w:r w:rsidRPr="00DA4CDE">
        <w:rPr>
          <w:sz w:val="20"/>
        </w:rPr>
        <w:t xml:space="preserve">za gospodarski subjekt: M.P. </w:t>
      </w:r>
    </w:p>
    <w:p w:rsidR="008204D2" w:rsidRDefault="008204D2" w:rsidP="008204D2">
      <w:pPr>
        <w:jc w:val="both"/>
        <w:rPr>
          <w:sz w:val="20"/>
        </w:rPr>
      </w:pPr>
    </w:p>
    <w:p w:rsidR="008204D2" w:rsidRDefault="008204D2" w:rsidP="008204D2">
      <w:pPr>
        <w:jc w:val="right"/>
        <w:rPr>
          <w:sz w:val="20"/>
        </w:rPr>
      </w:pPr>
      <w:r w:rsidRPr="00DA4CDE">
        <w:rPr>
          <w:sz w:val="20"/>
        </w:rPr>
        <w:t xml:space="preserve">______________________________________ </w:t>
      </w:r>
    </w:p>
    <w:p w:rsidR="008204D2" w:rsidRDefault="008204D2" w:rsidP="008204D2">
      <w:pPr>
        <w:jc w:val="right"/>
        <w:rPr>
          <w:sz w:val="20"/>
        </w:rPr>
      </w:pPr>
      <w:r w:rsidRPr="00DA4CDE">
        <w:rPr>
          <w:sz w:val="20"/>
        </w:rPr>
        <w:t xml:space="preserve">(navesti ime i prezime te potpis osobe po zakonu </w:t>
      </w:r>
    </w:p>
    <w:p w:rsidR="005B49EB" w:rsidRDefault="008204D2" w:rsidP="005B49EB">
      <w:pPr>
        <w:jc w:val="right"/>
        <w:rPr>
          <w:sz w:val="20"/>
        </w:rPr>
      </w:pPr>
      <w:r w:rsidRPr="00DA4CDE">
        <w:rPr>
          <w:sz w:val="20"/>
        </w:rPr>
        <w:t>ovlaštene za zastupanje gospodarskog subjekta)</w:t>
      </w:r>
    </w:p>
    <w:p w:rsidR="005B49EB" w:rsidRDefault="008204D2" w:rsidP="005B49EB">
      <w:pPr>
        <w:jc w:val="right"/>
        <w:rPr>
          <w:sz w:val="20"/>
        </w:rPr>
      </w:pPr>
      <w:r w:rsidRPr="00DA4CDE">
        <w:rPr>
          <w:sz w:val="20"/>
        </w:rPr>
        <w:t xml:space="preserve"> </w:t>
      </w:r>
    </w:p>
    <w:p w:rsidR="008204D2" w:rsidRDefault="008204D2" w:rsidP="005B49EB">
      <w:pPr>
        <w:jc w:val="right"/>
        <w:rPr>
          <w:sz w:val="20"/>
        </w:rPr>
      </w:pPr>
      <w:r w:rsidRPr="00DA4CDE">
        <w:rPr>
          <w:sz w:val="20"/>
        </w:rPr>
        <w:t>Datum: ___</w:t>
      </w:r>
      <w:r w:rsidR="005B49EB">
        <w:rPr>
          <w:sz w:val="20"/>
        </w:rPr>
        <w:t>_________</w:t>
      </w:r>
      <w:r w:rsidRPr="00DA4CDE">
        <w:rPr>
          <w:sz w:val="20"/>
        </w:rPr>
        <w:t>_________.</w:t>
      </w:r>
    </w:p>
    <w:p w:rsidR="008204D2" w:rsidRDefault="008204D2" w:rsidP="008204D2">
      <w:pPr>
        <w:jc w:val="center"/>
        <w:rPr>
          <w:sz w:val="18"/>
          <w:szCs w:val="18"/>
          <w:u w:val="single"/>
        </w:rPr>
      </w:pPr>
    </w:p>
    <w:sectPr w:rsidR="008204D2" w:rsidSect="005F461D">
      <w:headerReference w:type="default" r:id="rId9"/>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0CA" w:rsidRDefault="00BB40CA" w:rsidP="008B7108">
      <w:r>
        <w:separator/>
      </w:r>
    </w:p>
  </w:endnote>
  <w:endnote w:type="continuationSeparator" w:id="0">
    <w:p w:rsidR="00BB40CA" w:rsidRDefault="00BB40CA"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charset w:val="02"/>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HRTimes">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Kievit Offc Pro Light">
    <w:altName w:val="Segoe Script"/>
    <w:charset w:val="EE"/>
    <w:family w:val="swiss"/>
    <w:pitch w:val="variable"/>
    <w:sig w:usb0="00000001" w:usb1="4000205B" w:usb2="00000000" w:usb3="00000000" w:csb0="0000009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Trajan Pro">
    <w:altName w:val="Times New Roman"/>
    <w:charset w:val="00"/>
    <w:family w:val="roman"/>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1B0E28" w:rsidRDefault="00D75FFC">
        <w:pPr>
          <w:pStyle w:val="Footer"/>
          <w:jc w:val="right"/>
        </w:pPr>
        <w:fldSimple w:instr=" PAGE   \* MERGEFORMAT ">
          <w:r w:rsidR="00F0373C">
            <w:rPr>
              <w:noProof/>
            </w:rPr>
            <w:t>1</w:t>
          </w:r>
        </w:fldSimple>
      </w:p>
    </w:sdtContent>
  </w:sdt>
  <w:p w:rsidR="001B0E28" w:rsidRPr="001A276D" w:rsidRDefault="001B0E28"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0CA" w:rsidRDefault="00BB40CA" w:rsidP="008B7108">
      <w:r>
        <w:separator/>
      </w:r>
    </w:p>
  </w:footnote>
  <w:footnote w:type="continuationSeparator" w:id="0">
    <w:p w:rsidR="00BB40CA" w:rsidRDefault="00BB40CA"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89" w:type="dxa"/>
      <w:tblBorders>
        <w:bottom w:val="single" w:sz="12" w:space="0" w:color="4472C4"/>
      </w:tblBorders>
      <w:tblLayout w:type="fixed"/>
      <w:tblLook w:val="04A0"/>
    </w:tblPr>
    <w:tblGrid>
      <w:gridCol w:w="1105"/>
      <w:gridCol w:w="4691"/>
      <w:gridCol w:w="4093"/>
    </w:tblGrid>
    <w:tr w:rsidR="00A12C5B" w:rsidRPr="00150DC7" w:rsidTr="00BC20CD">
      <w:trPr>
        <w:trHeight w:val="687"/>
      </w:trPr>
      <w:tc>
        <w:tcPr>
          <w:tcW w:w="1105" w:type="dxa"/>
          <w:tcBorders>
            <w:bottom w:val="nil"/>
          </w:tcBorders>
        </w:tcPr>
        <w:p w:rsidR="00A12C5B" w:rsidRPr="00150DC7" w:rsidRDefault="00A12C5B" w:rsidP="007E2944">
          <w:pPr>
            <w:pStyle w:val="Header"/>
            <w:rPr>
              <w:rFonts w:ascii="Trajan Pro" w:hAnsi="Trajan Pro" w:cs="Tahoma"/>
              <w:b/>
              <w:sz w:val="32"/>
            </w:rPr>
          </w:pPr>
          <w:r>
            <w:rPr>
              <w:rFonts w:ascii="Trajan Pro" w:hAnsi="Trajan Pro" w:cs="Tahoma"/>
              <w:b/>
              <w:noProof/>
              <w:sz w:val="32"/>
            </w:rPr>
            <w:drawing>
              <wp:inline distT="0" distB="0" distL="0" distR="0">
                <wp:extent cx="673100" cy="6731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3100" cy="673100"/>
                        </a:xfrm>
                        <a:prstGeom prst="rect">
                          <a:avLst/>
                        </a:prstGeom>
                        <a:noFill/>
                        <a:ln w="9525">
                          <a:noFill/>
                          <a:miter lim="800000"/>
                          <a:headEnd/>
                          <a:tailEnd/>
                        </a:ln>
                      </pic:spPr>
                    </pic:pic>
                  </a:graphicData>
                </a:graphic>
              </wp:inline>
            </w:drawing>
          </w:r>
        </w:p>
      </w:tc>
      <w:tc>
        <w:tcPr>
          <w:tcW w:w="4691" w:type="dxa"/>
          <w:tcBorders>
            <w:bottom w:val="nil"/>
          </w:tcBorders>
          <w:vAlign w:val="center"/>
        </w:tcPr>
        <w:p w:rsidR="00A12C5B" w:rsidRPr="00150DC7" w:rsidRDefault="00A12C5B" w:rsidP="007E2944">
          <w:pPr>
            <w:pStyle w:val="Header"/>
            <w:rPr>
              <w:rFonts w:ascii="Arial" w:hAnsi="Arial" w:cs="Arial"/>
              <w:sz w:val="36"/>
            </w:rPr>
          </w:pPr>
          <w:r w:rsidRPr="00150DC7">
            <w:rPr>
              <w:rFonts w:ascii="Arial" w:hAnsi="Arial" w:cs="Arial"/>
              <w:sz w:val="36"/>
            </w:rPr>
            <w:t>OPĆA BOLNICA ZADAR</w:t>
          </w:r>
        </w:p>
        <w:p w:rsidR="00A12C5B" w:rsidRDefault="00BC20CD" w:rsidP="007E2944">
          <w:pPr>
            <w:pStyle w:val="Header"/>
            <w:rPr>
              <w:rFonts w:ascii="Arial" w:hAnsi="Arial" w:cs="Arial"/>
              <w:b/>
              <w:i/>
              <w:color w:val="1F4E79"/>
              <w:sz w:val="18"/>
            </w:rPr>
          </w:pPr>
          <w:r>
            <w:rPr>
              <w:rFonts w:ascii="Arial" w:hAnsi="Arial" w:cs="Arial"/>
              <w:b/>
              <w:i/>
              <w:color w:val="1F4E79"/>
              <w:sz w:val="18"/>
            </w:rPr>
            <w:t>Služba za ekonomsko-financijske poslove</w:t>
          </w:r>
        </w:p>
        <w:p w:rsidR="00BC20CD" w:rsidRPr="00150DC7" w:rsidRDefault="00BC20CD" w:rsidP="007E2944">
          <w:pPr>
            <w:pStyle w:val="Header"/>
            <w:rPr>
              <w:rFonts w:ascii="Arial" w:hAnsi="Arial" w:cs="Arial"/>
              <w:i/>
              <w:color w:val="404040"/>
              <w:sz w:val="18"/>
            </w:rPr>
          </w:pPr>
          <w:r>
            <w:rPr>
              <w:rFonts w:ascii="Arial" w:hAnsi="Arial" w:cs="Arial"/>
              <w:b/>
              <w:i/>
              <w:color w:val="1F4E79"/>
              <w:sz w:val="18"/>
            </w:rPr>
            <w:t>Odjel za nabavu, investicije i EU fondove</w:t>
          </w:r>
        </w:p>
      </w:tc>
      <w:tc>
        <w:tcPr>
          <w:tcW w:w="4093" w:type="dxa"/>
          <w:tcBorders>
            <w:bottom w:val="nil"/>
          </w:tcBorders>
          <w:vAlign w:val="bottom"/>
        </w:tcPr>
        <w:p w:rsidR="00A12C5B" w:rsidRPr="00150DC7" w:rsidRDefault="00A12C5B" w:rsidP="007E2944">
          <w:pPr>
            <w:jc w:val="right"/>
            <w:rPr>
              <w:rFonts w:ascii="Arial" w:hAnsi="Arial" w:cs="Arial"/>
              <w:i/>
              <w:color w:val="000000"/>
              <w:sz w:val="16"/>
            </w:rPr>
          </w:pPr>
          <w:r w:rsidRPr="00150DC7">
            <w:rPr>
              <w:rFonts w:ascii="Arial" w:hAnsi="Arial" w:cs="Arial"/>
              <w:i/>
              <w:color w:val="000000"/>
              <w:sz w:val="16"/>
            </w:rPr>
            <w:t>Bože Peričića 5, 23000 Zadar, HR</w:t>
          </w:r>
        </w:p>
        <w:p w:rsidR="00A12C5B" w:rsidRPr="00150DC7" w:rsidRDefault="00A12C5B" w:rsidP="007E2944">
          <w:pPr>
            <w:jc w:val="right"/>
            <w:rPr>
              <w:rFonts w:ascii="Arial" w:hAnsi="Arial" w:cs="Arial"/>
              <w:i/>
              <w:color w:val="000000"/>
              <w:sz w:val="16"/>
            </w:rPr>
          </w:pPr>
          <w:r w:rsidRPr="00150DC7">
            <w:rPr>
              <w:rFonts w:ascii="Arial" w:hAnsi="Arial" w:cs="Arial"/>
              <w:i/>
              <w:color w:val="000000"/>
              <w:sz w:val="16"/>
            </w:rPr>
            <w:t xml:space="preserve">Tel: +385 23 505 </w:t>
          </w:r>
          <w:r w:rsidR="00BC20CD">
            <w:rPr>
              <w:rFonts w:ascii="Arial" w:hAnsi="Arial" w:cs="Arial"/>
              <w:i/>
              <w:color w:val="000000"/>
              <w:sz w:val="16"/>
            </w:rPr>
            <w:t>491</w:t>
          </w:r>
        </w:p>
        <w:p w:rsidR="00A12C5B" w:rsidRPr="00150DC7" w:rsidRDefault="00A12C5B" w:rsidP="007E2944">
          <w:pPr>
            <w:jc w:val="right"/>
            <w:rPr>
              <w:rFonts w:ascii="Arial" w:hAnsi="Arial" w:cs="Arial"/>
              <w:i/>
              <w:color w:val="000000"/>
              <w:sz w:val="16"/>
            </w:rPr>
          </w:pPr>
          <w:r w:rsidRPr="00150DC7">
            <w:rPr>
              <w:rFonts w:ascii="Arial" w:hAnsi="Arial" w:cs="Arial"/>
              <w:i/>
              <w:color w:val="000000"/>
              <w:sz w:val="16"/>
            </w:rPr>
            <w:t xml:space="preserve">Fax: +385 23 312 </w:t>
          </w:r>
          <w:r w:rsidR="00BC20CD">
            <w:rPr>
              <w:rFonts w:ascii="Arial" w:hAnsi="Arial" w:cs="Arial"/>
              <w:i/>
              <w:color w:val="000000"/>
              <w:sz w:val="16"/>
            </w:rPr>
            <w:t>386</w:t>
          </w:r>
        </w:p>
        <w:p w:rsidR="00A12C5B" w:rsidRPr="00150DC7" w:rsidRDefault="00A12C5B" w:rsidP="00BC20CD">
          <w:pPr>
            <w:tabs>
              <w:tab w:val="left" w:pos="490"/>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r>
          <w:r w:rsidR="00BC20CD">
            <w:rPr>
              <w:rFonts w:ascii="Arial" w:hAnsi="Arial" w:cs="Arial"/>
              <w:i/>
              <w:color w:val="000000"/>
              <w:sz w:val="16"/>
            </w:rPr>
            <w:t xml:space="preserve">                          </w:t>
          </w:r>
          <w:r w:rsidRPr="00150DC7">
            <w:rPr>
              <w:rFonts w:ascii="Arial" w:hAnsi="Arial" w:cs="Arial"/>
              <w:i/>
              <w:color w:val="000000"/>
              <w:sz w:val="16"/>
            </w:rPr>
            <w:t xml:space="preserve">Web: </w:t>
          </w:r>
          <w:r w:rsidRPr="00150DC7">
            <w:rPr>
              <w:rFonts w:ascii="Arial" w:hAnsi="Arial" w:cs="Arial"/>
              <w:i/>
              <w:color w:val="1F4E79"/>
              <w:sz w:val="16"/>
            </w:rPr>
            <w:t>www.bolnica-zadar.hr</w:t>
          </w:r>
        </w:p>
        <w:p w:rsidR="00A12C5B" w:rsidRPr="00150DC7" w:rsidRDefault="00A12C5B" w:rsidP="00BC20CD">
          <w:pPr>
            <w:tabs>
              <w:tab w:val="left" w:pos="490"/>
              <w:tab w:val="right" w:pos="3611"/>
            </w:tabs>
            <w:jc w:val="right"/>
            <w:rPr>
              <w:rFonts w:ascii="Arial" w:hAnsi="Arial" w:cs="Arial"/>
            </w:rPr>
          </w:pPr>
          <w:r w:rsidRPr="00150DC7">
            <w:rPr>
              <w:rFonts w:ascii="Arial" w:hAnsi="Arial" w:cs="Arial"/>
              <w:i/>
              <w:color w:val="000000"/>
              <w:sz w:val="16"/>
            </w:rPr>
            <w:t xml:space="preserve">E-mail: </w:t>
          </w:r>
          <w:r w:rsidR="00BC20CD">
            <w:rPr>
              <w:rFonts w:ascii="Arial" w:hAnsi="Arial" w:cs="Arial"/>
              <w:i/>
              <w:color w:val="1F4E79"/>
              <w:sz w:val="16"/>
            </w:rPr>
            <w:t>nino.funcic</w:t>
          </w:r>
          <w:r w:rsidRPr="00150DC7">
            <w:rPr>
              <w:rFonts w:ascii="Arial" w:hAnsi="Arial" w:cs="Arial"/>
              <w:i/>
              <w:color w:val="1F4E79"/>
              <w:sz w:val="16"/>
            </w:rPr>
            <w:t>@bolnica-zadar.hr</w:t>
          </w:r>
        </w:p>
      </w:tc>
    </w:tr>
    <w:tr w:rsidR="00A12C5B" w:rsidRPr="00150DC7" w:rsidTr="00BC20CD">
      <w:trPr>
        <w:trHeight w:val="31"/>
      </w:trPr>
      <w:tc>
        <w:tcPr>
          <w:tcW w:w="1105" w:type="dxa"/>
          <w:tcBorders>
            <w:bottom w:val="single" w:sz="24" w:space="0" w:color="4472C4"/>
          </w:tcBorders>
        </w:tcPr>
        <w:p w:rsidR="00A12C5B" w:rsidRPr="00150DC7" w:rsidRDefault="00A12C5B" w:rsidP="007E2944">
          <w:pPr>
            <w:pStyle w:val="Header"/>
            <w:rPr>
              <w:rFonts w:ascii="Cambria" w:hAnsi="Cambria"/>
              <w:b/>
            </w:rPr>
          </w:pPr>
        </w:p>
      </w:tc>
      <w:tc>
        <w:tcPr>
          <w:tcW w:w="4691" w:type="dxa"/>
          <w:tcBorders>
            <w:bottom w:val="single" w:sz="24" w:space="0" w:color="4472C4"/>
          </w:tcBorders>
        </w:tcPr>
        <w:p w:rsidR="00A12C5B" w:rsidRPr="00150DC7" w:rsidRDefault="00A12C5B" w:rsidP="007E2944">
          <w:pPr>
            <w:pStyle w:val="Header"/>
            <w:rPr>
              <w:rFonts w:ascii="Arial" w:hAnsi="Arial" w:cs="Arial"/>
              <w:b/>
            </w:rPr>
          </w:pPr>
        </w:p>
      </w:tc>
      <w:tc>
        <w:tcPr>
          <w:tcW w:w="4093" w:type="dxa"/>
          <w:tcBorders>
            <w:bottom w:val="single" w:sz="24" w:space="0" w:color="4472C4"/>
          </w:tcBorders>
        </w:tcPr>
        <w:p w:rsidR="00A12C5B" w:rsidRPr="00150DC7" w:rsidRDefault="00A12C5B" w:rsidP="007E2944">
          <w:pPr>
            <w:pStyle w:val="Header"/>
            <w:rPr>
              <w:rFonts w:ascii="Arial" w:hAnsi="Arial" w:cs="Arial"/>
              <w:b/>
            </w:rPr>
          </w:pPr>
        </w:p>
      </w:tc>
    </w:tr>
  </w:tbl>
  <w:p w:rsidR="00A12C5B" w:rsidRDefault="00A12C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nsid w:val="1E845648"/>
    <w:multiLevelType w:val="multilevel"/>
    <w:tmpl w:val="B96E4FF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6107D7C"/>
    <w:multiLevelType w:val="multilevel"/>
    <w:tmpl w:val="96F01BD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
    <w:nsid w:val="263A280C"/>
    <w:multiLevelType w:val="multilevel"/>
    <w:tmpl w:val="2552026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5F4128E"/>
    <w:multiLevelType w:val="multilevel"/>
    <w:tmpl w:val="E5FC9474"/>
    <w:lvl w:ilvl="0">
      <w:numFmt w:val="bullet"/>
      <w:lvlText w:val=""/>
      <w:lvlJc w:val="left"/>
      <w:pPr>
        <w:ind w:left="720" w:hanging="360"/>
      </w:pPr>
      <w:rPr>
        <w:rFonts w:ascii="Symbol" w:hAnsi="Symbol" w:cs="StarSymbol"/>
        <w:sz w:val="18"/>
        <w:szCs w:val="18"/>
      </w:rPr>
    </w:lvl>
    <w:lvl w:ilvl="1">
      <w:numFmt w:val="bullet"/>
      <w:lvlText w:val=""/>
      <w:lvlJc w:val="left"/>
      <w:pPr>
        <w:ind w:left="1080" w:hanging="360"/>
      </w:pPr>
      <w:rPr>
        <w:rFonts w:ascii="Symbol" w:hAnsi="Symbol" w:cs="StarSymbol"/>
        <w:sz w:val="18"/>
        <w:szCs w:val="18"/>
      </w:rPr>
    </w:lvl>
    <w:lvl w:ilvl="2">
      <w:numFmt w:val="bullet"/>
      <w:lvlText w:val=""/>
      <w:lvlJc w:val="left"/>
      <w:pPr>
        <w:ind w:left="1440" w:hanging="360"/>
      </w:pPr>
      <w:rPr>
        <w:rFonts w:ascii="Symbol" w:hAnsi="Symbol" w:cs="StarSymbol"/>
        <w:sz w:val="18"/>
        <w:szCs w:val="18"/>
      </w:rPr>
    </w:lvl>
    <w:lvl w:ilvl="3">
      <w:numFmt w:val="bullet"/>
      <w:lvlText w:val=""/>
      <w:lvlJc w:val="left"/>
      <w:pPr>
        <w:ind w:left="1800" w:hanging="360"/>
      </w:pPr>
      <w:rPr>
        <w:rFonts w:ascii="Symbol" w:hAnsi="Symbol" w:cs="StarSymbol"/>
        <w:sz w:val="18"/>
        <w:szCs w:val="18"/>
      </w:rPr>
    </w:lvl>
    <w:lvl w:ilvl="4">
      <w:numFmt w:val="bullet"/>
      <w:lvlText w:val=""/>
      <w:lvlJc w:val="left"/>
      <w:pPr>
        <w:ind w:left="2160" w:hanging="360"/>
      </w:pPr>
      <w:rPr>
        <w:rFonts w:ascii="Symbol" w:hAnsi="Symbol" w:cs="StarSymbol"/>
        <w:sz w:val="18"/>
        <w:szCs w:val="18"/>
      </w:rPr>
    </w:lvl>
    <w:lvl w:ilvl="5">
      <w:numFmt w:val="bullet"/>
      <w:lvlText w:val=""/>
      <w:lvlJc w:val="left"/>
      <w:pPr>
        <w:ind w:left="2520" w:hanging="360"/>
      </w:pPr>
      <w:rPr>
        <w:rFonts w:ascii="Symbol" w:hAnsi="Symbol" w:cs="StarSymbol"/>
        <w:sz w:val="18"/>
        <w:szCs w:val="18"/>
      </w:rPr>
    </w:lvl>
    <w:lvl w:ilvl="6">
      <w:numFmt w:val="bullet"/>
      <w:lvlText w:val=""/>
      <w:lvlJc w:val="left"/>
      <w:pPr>
        <w:ind w:left="2880" w:hanging="360"/>
      </w:pPr>
      <w:rPr>
        <w:rFonts w:ascii="Symbol" w:hAnsi="Symbol" w:cs="StarSymbol"/>
        <w:sz w:val="18"/>
        <w:szCs w:val="18"/>
      </w:rPr>
    </w:lvl>
    <w:lvl w:ilvl="7">
      <w:numFmt w:val="bullet"/>
      <w:lvlText w:val=""/>
      <w:lvlJc w:val="left"/>
      <w:pPr>
        <w:ind w:left="3240" w:hanging="360"/>
      </w:pPr>
      <w:rPr>
        <w:rFonts w:ascii="Symbol" w:hAnsi="Symbol" w:cs="StarSymbol"/>
        <w:sz w:val="18"/>
        <w:szCs w:val="18"/>
      </w:rPr>
    </w:lvl>
    <w:lvl w:ilvl="8">
      <w:numFmt w:val="bullet"/>
      <w:lvlText w:val=""/>
      <w:lvlJc w:val="left"/>
      <w:pPr>
        <w:ind w:left="3600" w:hanging="360"/>
      </w:pPr>
      <w:rPr>
        <w:rFonts w:ascii="Symbol" w:hAnsi="Symbol" w:cs="StarSymbol"/>
        <w:sz w:val="18"/>
        <w:szCs w:val="18"/>
      </w:rPr>
    </w:lvl>
  </w:abstractNum>
  <w:abstractNum w:abstractNumId="16">
    <w:nsid w:val="3800246A"/>
    <w:multiLevelType w:val="multilevel"/>
    <w:tmpl w:val="53707BF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7">
    <w:nsid w:val="3F4A2A9E"/>
    <w:multiLevelType w:val="multilevel"/>
    <w:tmpl w:val="62A4A5F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8">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9">
    <w:nsid w:val="40693965"/>
    <w:multiLevelType w:val="multilevel"/>
    <w:tmpl w:val="4E6E6AD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0">
    <w:nsid w:val="45952914"/>
    <w:multiLevelType w:val="multilevel"/>
    <w:tmpl w:val="47BA0AA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1">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6971CA9"/>
    <w:multiLevelType w:val="multilevel"/>
    <w:tmpl w:val="87321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8E6402A"/>
    <w:multiLevelType w:val="multilevel"/>
    <w:tmpl w:val="B270E81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7">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CED3872"/>
    <w:multiLevelType w:val="multilevel"/>
    <w:tmpl w:val="5E88251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9">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FC70EFD"/>
    <w:multiLevelType w:val="multilevel"/>
    <w:tmpl w:val="041A001D"/>
    <w:numStyleLink w:val="Stil1"/>
  </w:abstractNum>
  <w:abstractNum w:abstractNumId="33">
    <w:nsid w:val="608754B0"/>
    <w:multiLevelType w:val="multilevel"/>
    <w:tmpl w:val="4B880FE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4">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5">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6">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5ED62A3"/>
    <w:multiLevelType w:val="multilevel"/>
    <w:tmpl w:val="84762FF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1">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C92433F"/>
    <w:multiLevelType w:val="multilevel"/>
    <w:tmpl w:val="14DA545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abstractNumId w:val="1"/>
  </w:num>
  <w:num w:numId="2">
    <w:abstractNumId w:val="0"/>
  </w:num>
  <w:num w:numId="3">
    <w:abstractNumId w:val="41"/>
  </w:num>
  <w:num w:numId="4">
    <w:abstractNumId w:val="7"/>
  </w:num>
  <w:num w:numId="5">
    <w:abstractNumId w:val="18"/>
  </w:num>
  <w:num w:numId="6">
    <w:abstractNumId w:val="21"/>
  </w:num>
  <w:num w:numId="7">
    <w:abstractNumId w:val="40"/>
  </w:num>
  <w:num w:numId="8">
    <w:abstractNumId w:val="24"/>
  </w:num>
  <w:num w:numId="9">
    <w:abstractNumId w:val="29"/>
  </w:num>
  <w:num w:numId="10">
    <w:abstractNumId w:val="22"/>
  </w:num>
  <w:num w:numId="11">
    <w:abstractNumId w:val="38"/>
  </w:num>
  <w:num w:numId="12">
    <w:abstractNumId w:val="37"/>
  </w:num>
  <w:num w:numId="13">
    <w:abstractNumId w:val="4"/>
  </w:num>
  <w:num w:numId="14">
    <w:abstractNumId w:val="9"/>
  </w:num>
  <w:num w:numId="15">
    <w:abstractNumId w:val="13"/>
  </w:num>
  <w:num w:numId="16">
    <w:abstractNumId w:val="27"/>
  </w:num>
  <w:num w:numId="17">
    <w:abstractNumId w:val="6"/>
  </w:num>
  <w:num w:numId="18">
    <w:abstractNumId w:val="30"/>
  </w:num>
  <w:num w:numId="19">
    <w:abstractNumId w:val="10"/>
  </w:num>
  <w:num w:numId="20">
    <w:abstractNumId w:val="32"/>
  </w:num>
  <w:num w:numId="21">
    <w:abstractNumId w:val="31"/>
  </w:num>
  <w:num w:numId="22">
    <w:abstractNumId w:val="34"/>
  </w:num>
  <w:num w:numId="23">
    <w:abstractNumId w:val="35"/>
  </w:num>
  <w:num w:numId="24">
    <w:abstractNumId w:val="23"/>
  </w:num>
  <w:num w:numId="25">
    <w:abstractNumId w:val="5"/>
  </w:num>
  <w:num w:numId="26">
    <w:abstractNumId w:val="3"/>
  </w:num>
  <w:num w:numId="27">
    <w:abstractNumId w:val="36"/>
  </w:num>
  <w:num w:numId="28">
    <w:abstractNumId w:val="32"/>
    <w:lvlOverride w:ilvl="0">
      <w:lvl w:ilvl="0">
        <w:start w:val="1"/>
        <w:numFmt w:val="upperRoman"/>
        <w:lvlText w:val="%1)"/>
        <w:lvlJc w:val="left"/>
        <w:pPr>
          <w:ind w:left="360" w:hanging="360"/>
        </w:pPr>
        <w:rPr>
          <w:b/>
          <w:color w:val="FF0000"/>
        </w:rPr>
      </w:lvl>
    </w:lvlOverride>
  </w:num>
  <w:num w:numId="29">
    <w:abstractNumId w:val="2"/>
  </w:num>
  <w:num w:numId="30">
    <w:abstractNumId w:val="15"/>
  </w:num>
  <w:num w:numId="31">
    <w:abstractNumId w:val="17"/>
  </w:num>
  <w:num w:numId="32">
    <w:abstractNumId w:val="11"/>
  </w:num>
  <w:num w:numId="33">
    <w:abstractNumId w:val="26"/>
  </w:num>
  <w:num w:numId="34">
    <w:abstractNumId w:val="42"/>
  </w:num>
  <w:num w:numId="35">
    <w:abstractNumId w:val="33"/>
  </w:num>
  <w:num w:numId="36">
    <w:abstractNumId w:val="28"/>
  </w:num>
  <w:num w:numId="37">
    <w:abstractNumId w:val="19"/>
  </w:num>
  <w:num w:numId="38">
    <w:abstractNumId w:val="12"/>
  </w:num>
  <w:num w:numId="39">
    <w:abstractNumId w:val="16"/>
  </w:num>
  <w:num w:numId="40">
    <w:abstractNumId w:val="8"/>
  </w:num>
  <w:num w:numId="41">
    <w:abstractNumId w:val="39"/>
  </w:num>
  <w:num w:numId="42">
    <w:abstractNumId w:val="20"/>
  </w:num>
  <w:num w:numId="43">
    <w:abstractNumId w:val="2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8"/>
  </w:hdrShapeDefaults>
  <w:footnotePr>
    <w:footnote w:id="-1"/>
    <w:footnote w:id="0"/>
  </w:footnotePr>
  <w:endnotePr>
    <w:endnote w:id="-1"/>
    <w:endnote w:id="0"/>
  </w:endnotePr>
  <w:compat/>
  <w:rsids>
    <w:rsidRoot w:val="00066C4D"/>
    <w:rsid w:val="000026EF"/>
    <w:rsid w:val="00002BBA"/>
    <w:rsid w:val="000134C6"/>
    <w:rsid w:val="00017086"/>
    <w:rsid w:val="0002397D"/>
    <w:rsid w:val="000264EC"/>
    <w:rsid w:val="000301AD"/>
    <w:rsid w:val="00030300"/>
    <w:rsid w:val="00033C49"/>
    <w:rsid w:val="00035987"/>
    <w:rsid w:val="00041993"/>
    <w:rsid w:val="00042682"/>
    <w:rsid w:val="00043254"/>
    <w:rsid w:val="00043C3F"/>
    <w:rsid w:val="00050759"/>
    <w:rsid w:val="00051801"/>
    <w:rsid w:val="000521FF"/>
    <w:rsid w:val="00052C17"/>
    <w:rsid w:val="000536EA"/>
    <w:rsid w:val="00054F03"/>
    <w:rsid w:val="000558A2"/>
    <w:rsid w:val="00055DF1"/>
    <w:rsid w:val="000569C8"/>
    <w:rsid w:val="0005726F"/>
    <w:rsid w:val="00057660"/>
    <w:rsid w:val="0006085F"/>
    <w:rsid w:val="000640D0"/>
    <w:rsid w:val="00064BD3"/>
    <w:rsid w:val="00066C4D"/>
    <w:rsid w:val="00070144"/>
    <w:rsid w:val="00080753"/>
    <w:rsid w:val="00080951"/>
    <w:rsid w:val="00083467"/>
    <w:rsid w:val="00086843"/>
    <w:rsid w:val="000931B1"/>
    <w:rsid w:val="00095521"/>
    <w:rsid w:val="000A1013"/>
    <w:rsid w:val="000A16B8"/>
    <w:rsid w:val="000A2D6A"/>
    <w:rsid w:val="000A50E8"/>
    <w:rsid w:val="000A549E"/>
    <w:rsid w:val="000B2289"/>
    <w:rsid w:val="000B3FE6"/>
    <w:rsid w:val="000B64A8"/>
    <w:rsid w:val="000C0E2D"/>
    <w:rsid w:val="000C2017"/>
    <w:rsid w:val="000C3E7D"/>
    <w:rsid w:val="000C6276"/>
    <w:rsid w:val="000D4D4A"/>
    <w:rsid w:val="000D6086"/>
    <w:rsid w:val="000D6F56"/>
    <w:rsid w:val="000D7EB4"/>
    <w:rsid w:val="000E1AE3"/>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0E28"/>
    <w:rsid w:val="001B46AD"/>
    <w:rsid w:val="001B7078"/>
    <w:rsid w:val="001C1F5B"/>
    <w:rsid w:val="001C3472"/>
    <w:rsid w:val="001C596E"/>
    <w:rsid w:val="001C661D"/>
    <w:rsid w:val="001C6841"/>
    <w:rsid w:val="001D1395"/>
    <w:rsid w:val="001D20C5"/>
    <w:rsid w:val="001E2125"/>
    <w:rsid w:val="001E2AAF"/>
    <w:rsid w:val="001E43EE"/>
    <w:rsid w:val="001E447C"/>
    <w:rsid w:val="001F36FE"/>
    <w:rsid w:val="001F4FC3"/>
    <w:rsid w:val="001F5B87"/>
    <w:rsid w:val="00202269"/>
    <w:rsid w:val="00203455"/>
    <w:rsid w:val="002054D7"/>
    <w:rsid w:val="0020778D"/>
    <w:rsid w:val="00213C4B"/>
    <w:rsid w:val="002162D7"/>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1F06"/>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2F2E1A"/>
    <w:rsid w:val="00300833"/>
    <w:rsid w:val="003025DE"/>
    <w:rsid w:val="00302699"/>
    <w:rsid w:val="0030278A"/>
    <w:rsid w:val="00302E0B"/>
    <w:rsid w:val="00303615"/>
    <w:rsid w:val="00303AC4"/>
    <w:rsid w:val="003076BF"/>
    <w:rsid w:val="003105BF"/>
    <w:rsid w:val="003121EF"/>
    <w:rsid w:val="00313A36"/>
    <w:rsid w:val="00314383"/>
    <w:rsid w:val="00314739"/>
    <w:rsid w:val="003177F9"/>
    <w:rsid w:val="00322909"/>
    <w:rsid w:val="0032361D"/>
    <w:rsid w:val="003309AC"/>
    <w:rsid w:val="003318F8"/>
    <w:rsid w:val="00334035"/>
    <w:rsid w:val="003366B6"/>
    <w:rsid w:val="003448A8"/>
    <w:rsid w:val="00345220"/>
    <w:rsid w:val="00347A14"/>
    <w:rsid w:val="003524C8"/>
    <w:rsid w:val="003551DD"/>
    <w:rsid w:val="00356049"/>
    <w:rsid w:val="00360855"/>
    <w:rsid w:val="00362ECC"/>
    <w:rsid w:val="00365398"/>
    <w:rsid w:val="00366B1C"/>
    <w:rsid w:val="00375956"/>
    <w:rsid w:val="00375A1E"/>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595D"/>
    <w:rsid w:val="003E625C"/>
    <w:rsid w:val="003E7186"/>
    <w:rsid w:val="003F4315"/>
    <w:rsid w:val="003F7A56"/>
    <w:rsid w:val="003F7CF6"/>
    <w:rsid w:val="004009D5"/>
    <w:rsid w:val="0040111F"/>
    <w:rsid w:val="00407992"/>
    <w:rsid w:val="00411F1D"/>
    <w:rsid w:val="004123FF"/>
    <w:rsid w:val="004176C8"/>
    <w:rsid w:val="00422354"/>
    <w:rsid w:val="00431294"/>
    <w:rsid w:val="004314F4"/>
    <w:rsid w:val="0043386C"/>
    <w:rsid w:val="00434A9F"/>
    <w:rsid w:val="00434C41"/>
    <w:rsid w:val="004411FB"/>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53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2C0B"/>
    <w:rsid w:val="005B40D4"/>
    <w:rsid w:val="005B49EB"/>
    <w:rsid w:val="005B5BB4"/>
    <w:rsid w:val="005D5612"/>
    <w:rsid w:val="005D57E8"/>
    <w:rsid w:val="005D7397"/>
    <w:rsid w:val="005E0AB8"/>
    <w:rsid w:val="005E11DD"/>
    <w:rsid w:val="005E2BC8"/>
    <w:rsid w:val="005E5AB1"/>
    <w:rsid w:val="005E7B88"/>
    <w:rsid w:val="005F04AB"/>
    <w:rsid w:val="005F1228"/>
    <w:rsid w:val="005F461D"/>
    <w:rsid w:val="005F4D2B"/>
    <w:rsid w:val="00601015"/>
    <w:rsid w:val="00602FB8"/>
    <w:rsid w:val="00603636"/>
    <w:rsid w:val="0060696C"/>
    <w:rsid w:val="006112E8"/>
    <w:rsid w:val="00611574"/>
    <w:rsid w:val="0062417D"/>
    <w:rsid w:val="00624BFC"/>
    <w:rsid w:val="006277B0"/>
    <w:rsid w:val="006277B4"/>
    <w:rsid w:val="006332A6"/>
    <w:rsid w:val="0063533D"/>
    <w:rsid w:val="006353AF"/>
    <w:rsid w:val="00636195"/>
    <w:rsid w:val="00637291"/>
    <w:rsid w:val="00637334"/>
    <w:rsid w:val="00643161"/>
    <w:rsid w:val="00643E9F"/>
    <w:rsid w:val="00644A47"/>
    <w:rsid w:val="0064654F"/>
    <w:rsid w:val="00647C3F"/>
    <w:rsid w:val="0065091D"/>
    <w:rsid w:val="00651C56"/>
    <w:rsid w:val="00653A91"/>
    <w:rsid w:val="00653E7E"/>
    <w:rsid w:val="006544D3"/>
    <w:rsid w:val="00654D8A"/>
    <w:rsid w:val="00655309"/>
    <w:rsid w:val="0065574E"/>
    <w:rsid w:val="00657217"/>
    <w:rsid w:val="006575E6"/>
    <w:rsid w:val="00657DDE"/>
    <w:rsid w:val="00664AF9"/>
    <w:rsid w:val="006661DC"/>
    <w:rsid w:val="00667B8E"/>
    <w:rsid w:val="00670A42"/>
    <w:rsid w:val="00672A39"/>
    <w:rsid w:val="00673610"/>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26CC"/>
    <w:rsid w:val="006F56AD"/>
    <w:rsid w:val="006F7283"/>
    <w:rsid w:val="00700BE9"/>
    <w:rsid w:val="00700F0B"/>
    <w:rsid w:val="00701E7F"/>
    <w:rsid w:val="0070501D"/>
    <w:rsid w:val="0071196C"/>
    <w:rsid w:val="00711EA1"/>
    <w:rsid w:val="00712235"/>
    <w:rsid w:val="0071489E"/>
    <w:rsid w:val="00717A16"/>
    <w:rsid w:val="0072378A"/>
    <w:rsid w:val="00733AA7"/>
    <w:rsid w:val="00734BA5"/>
    <w:rsid w:val="00734CA3"/>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2A1A"/>
    <w:rsid w:val="007A69E2"/>
    <w:rsid w:val="007A7229"/>
    <w:rsid w:val="007B0F0E"/>
    <w:rsid w:val="007C1E4C"/>
    <w:rsid w:val="007C1F2D"/>
    <w:rsid w:val="007C46B7"/>
    <w:rsid w:val="007D4C4C"/>
    <w:rsid w:val="007D4DF3"/>
    <w:rsid w:val="007D50BC"/>
    <w:rsid w:val="007D656C"/>
    <w:rsid w:val="007E45CA"/>
    <w:rsid w:val="007E598C"/>
    <w:rsid w:val="007F594C"/>
    <w:rsid w:val="007F6187"/>
    <w:rsid w:val="0080244E"/>
    <w:rsid w:val="00803922"/>
    <w:rsid w:val="00803ABC"/>
    <w:rsid w:val="008056D1"/>
    <w:rsid w:val="008069D7"/>
    <w:rsid w:val="00806E2C"/>
    <w:rsid w:val="008073A7"/>
    <w:rsid w:val="0081257F"/>
    <w:rsid w:val="008160F8"/>
    <w:rsid w:val="008204D2"/>
    <w:rsid w:val="00820614"/>
    <w:rsid w:val="00820837"/>
    <w:rsid w:val="00824811"/>
    <w:rsid w:val="00824945"/>
    <w:rsid w:val="00824B4F"/>
    <w:rsid w:val="008269CB"/>
    <w:rsid w:val="00830373"/>
    <w:rsid w:val="008312D0"/>
    <w:rsid w:val="00840615"/>
    <w:rsid w:val="00841C14"/>
    <w:rsid w:val="00843139"/>
    <w:rsid w:val="00847405"/>
    <w:rsid w:val="00856A13"/>
    <w:rsid w:val="008575EA"/>
    <w:rsid w:val="00864FE5"/>
    <w:rsid w:val="008667BA"/>
    <w:rsid w:val="0087101F"/>
    <w:rsid w:val="0087156F"/>
    <w:rsid w:val="00875DD2"/>
    <w:rsid w:val="008778D3"/>
    <w:rsid w:val="00880A8E"/>
    <w:rsid w:val="00881B6C"/>
    <w:rsid w:val="00890D1B"/>
    <w:rsid w:val="00896434"/>
    <w:rsid w:val="00897C80"/>
    <w:rsid w:val="008A30D0"/>
    <w:rsid w:val="008A3C7C"/>
    <w:rsid w:val="008A4CE6"/>
    <w:rsid w:val="008A6154"/>
    <w:rsid w:val="008A6569"/>
    <w:rsid w:val="008B01E5"/>
    <w:rsid w:val="008B2915"/>
    <w:rsid w:val="008B2BD0"/>
    <w:rsid w:val="008B3054"/>
    <w:rsid w:val="008B323E"/>
    <w:rsid w:val="008B5F81"/>
    <w:rsid w:val="008B7108"/>
    <w:rsid w:val="008C3678"/>
    <w:rsid w:val="008C780E"/>
    <w:rsid w:val="008C78C6"/>
    <w:rsid w:val="008D1541"/>
    <w:rsid w:val="008D3C79"/>
    <w:rsid w:val="008E0419"/>
    <w:rsid w:val="008E72E8"/>
    <w:rsid w:val="008F3752"/>
    <w:rsid w:val="008F38A2"/>
    <w:rsid w:val="008F7BBE"/>
    <w:rsid w:val="009004AE"/>
    <w:rsid w:val="00903C2F"/>
    <w:rsid w:val="009046F6"/>
    <w:rsid w:val="009139DD"/>
    <w:rsid w:val="0091434F"/>
    <w:rsid w:val="00914B9D"/>
    <w:rsid w:val="00915E11"/>
    <w:rsid w:val="009175B2"/>
    <w:rsid w:val="00921F2C"/>
    <w:rsid w:val="00921F3C"/>
    <w:rsid w:val="0092382C"/>
    <w:rsid w:val="0093689A"/>
    <w:rsid w:val="0094133A"/>
    <w:rsid w:val="0094272D"/>
    <w:rsid w:val="00943E17"/>
    <w:rsid w:val="00944C76"/>
    <w:rsid w:val="009478EA"/>
    <w:rsid w:val="00953404"/>
    <w:rsid w:val="00953BB0"/>
    <w:rsid w:val="00953E68"/>
    <w:rsid w:val="00954C75"/>
    <w:rsid w:val="00956B25"/>
    <w:rsid w:val="00961A90"/>
    <w:rsid w:val="009627E5"/>
    <w:rsid w:val="0096330C"/>
    <w:rsid w:val="00963DC1"/>
    <w:rsid w:val="0096538F"/>
    <w:rsid w:val="009663DC"/>
    <w:rsid w:val="00971E5F"/>
    <w:rsid w:val="009724C7"/>
    <w:rsid w:val="00973DB4"/>
    <w:rsid w:val="00973FEF"/>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64"/>
    <w:rsid w:val="009E7D82"/>
    <w:rsid w:val="009F0CA2"/>
    <w:rsid w:val="009F11BA"/>
    <w:rsid w:val="009F1713"/>
    <w:rsid w:val="009F77DF"/>
    <w:rsid w:val="009F7C08"/>
    <w:rsid w:val="00A0306E"/>
    <w:rsid w:val="00A0626E"/>
    <w:rsid w:val="00A12C5B"/>
    <w:rsid w:val="00A14DEA"/>
    <w:rsid w:val="00A20595"/>
    <w:rsid w:val="00A220E7"/>
    <w:rsid w:val="00A3063A"/>
    <w:rsid w:val="00A313BB"/>
    <w:rsid w:val="00A31B87"/>
    <w:rsid w:val="00A31FDF"/>
    <w:rsid w:val="00A32153"/>
    <w:rsid w:val="00A41B35"/>
    <w:rsid w:val="00A42834"/>
    <w:rsid w:val="00A50496"/>
    <w:rsid w:val="00A536C7"/>
    <w:rsid w:val="00A75350"/>
    <w:rsid w:val="00A816B0"/>
    <w:rsid w:val="00A87ADE"/>
    <w:rsid w:val="00A90192"/>
    <w:rsid w:val="00A93A42"/>
    <w:rsid w:val="00A94935"/>
    <w:rsid w:val="00A97A12"/>
    <w:rsid w:val="00AA3F9E"/>
    <w:rsid w:val="00AA63DC"/>
    <w:rsid w:val="00AA64C1"/>
    <w:rsid w:val="00AB188C"/>
    <w:rsid w:val="00AB2F2E"/>
    <w:rsid w:val="00AB7764"/>
    <w:rsid w:val="00AC3176"/>
    <w:rsid w:val="00AC3C47"/>
    <w:rsid w:val="00AD3648"/>
    <w:rsid w:val="00AD5FD7"/>
    <w:rsid w:val="00AD693C"/>
    <w:rsid w:val="00AE0737"/>
    <w:rsid w:val="00AE3438"/>
    <w:rsid w:val="00AF2635"/>
    <w:rsid w:val="00AF2C26"/>
    <w:rsid w:val="00AF2F34"/>
    <w:rsid w:val="00AF2FE9"/>
    <w:rsid w:val="00AF3AD4"/>
    <w:rsid w:val="00AF5A3F"/>
    <w:rsid w:val="00B00B99"/>
    <w:rsid w:val="00B023B9"/>
    <w:rsid w:val="00B06276"/>
    <w:rsid w:val="00B0742B"/>
    <w:rsid w:val="00B07C28"/>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412"/>
    <w:rsid w:val="00B54A34"/>
    <w:rsid w:val="00B62260"/>
    <w:rsid w:val="00B67D26"/>
    <w:rsid w:val="00B71691"/>
    <w:rsid w:val="00B72E8E"/>
    <w:rsid w:val="00B73843"/>
    <w:rsid w:val="00B76C92"/>
    <w:rsid w:val="00B76E0F"/>
    <w:rsid w:val="00B77E1F"/>
    <w:rsid w:val="00B81708"/>
    <w:rsid w:val="00B85035"/>
    <w:rsid w:val="00B90B4A"/>
    <w:rsid w:val="00B90DA6"/>
    <w:rsid w:val="00B97BBC"/>
    <w:rsid w:val="00BA1634"/>
    <w:rsid w:val="00BB17C6"/>
    <w:rsid w:val="00BB40CA"/>
    <w:rsid w:val="00BB4B47"/>
    <w:rsid w:val="00BB4F3D"/>
    <w:rsid w:val="00BB5B93"/>
    <w:rsid w:val="00BB5DB6"/>
    <w:rsid w:val="00BB5FBF"/>
    <w:rsid w:val="00BB63AB"/>
    <w:rsid w:val="00BB6445"/>
    <w:rsid w:val="00BB7660"/>
    <w:rsid w:val="00BC20CD"/>
    <w:rsid w:val="00BC3E6E"/>
    <w:rsid w:val="00BD0D57"/>
    <w:rsid w:val="00BD3EB3"/>
    <w:rsid w:val="00BD3ECF"/>
    <w:rsid w:val="00BD7F41"/>
    <w:rsid w:val="00BE0437"/>
    <w:rsid w:val="00BE1EC7"/>
    <w:rsid w:val="00BE2D9C"/>
    <w:rsid w:val="00BE4C6A"/>
    <w:rsid w:val="00BE5E3F"/>
    <w:rsid w:val="00BE684F"/>
    <w:rsid w:val="00BF00D4"/>
    <w:rsid w:val="00BF1B6F"/>
    <w:rsid w:val="00BF2788"/>
    <w:rsid w:val="00BF4076"/>
    <w:rsid w:val="00BF463F"/>
    <w:rsid w:val="00BF578C"/>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0AE3"/>
    <w:rsid w:val="00C51B1F"/>
    <w:rsid w:val="00C52A39"/>
    <w:rsid w:val="00C5397B"/>
    <w:rsid w:val="00C547A3"/>
    <w:rsid w:val="00C54A08"/>
    <w:rsid w:val="00C57B11"/>
    <w:rsid w:val="00C60EE5"/>
    <w:rsid w:val="00C70940"/>
    <w:rsid w:val="00C70C42"/>
    <w:rsid w:val="00C71BC3"/>
    <w:rsid w:val="00C723B5"/>
    <w:rsid w:val="00C73A1C"/>
    <w:rsid w:val="00C73D51"/>
    <w:rsid w:val="00C76A10"/>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A73DE"/>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4146"/>
    <w:rsid w:val="00CE6362"/>
    <w:rsid w:val="00CE7F86"/>
    <w:rsid w:val="00CF04E8"/>
    <w:rsid w:val="00CF11F4"/>
    <w:rsid w:val="00D103C5"/>
    <w:rsid w:val="00D21686"/>
    <w:rsid w:val="00D21FA9"/>
    <w:rsid w:val="00D27BDD"/>
    <w:rsid w:val="00D30FBA"/>
    <w:rsid w:val="00D41B23"/>
    <w:rsid w:val="00D4748E"/>
    <w:rsid w:val="00D50F6E"/>
    <w:rsid w:val="00D54F07"/>
    <w:rsid w:val="00D611BE"/>
    <w:rsid w:val="00D62837"/>
    <w:rsid w:val="00D630A2"/>
    <w:rsid w:val="00D65B24"/>
    <w:rsid w:val="00D7307B"/>
    <w:rsid w:val="00D735CF"/>
    <w:rsid w:val="00D73F79"/>
    <w:rsid w:val="00D75FFC"/>
    <w:rsid w:val="00D76A74"/>
    <w:rsid w:val="00D76F76"/>
    <w:rsid w:val="00D7726B"/>
    <w:rsid w:val="00D81EFD"/>
    <w:rsid w:val="00D87BE8"/>
    <w:rsid w:val="00D9156A"/>
    <w:rsid w:val="00D924D9"/>
    <w:rsid w:val="00DA061E"/>
    <w:rsid w:val="00DA6428"/>
    <w:rsid w:val="00DB0B8A"/>
    <w:rsid w:val="00DB2504"/>
    <w:rsid w:val="00DB2F23"/>
    <w:rsid w:val="00DB4DA9"/>
    <w:rsid w:val="00DB68B5"/>
    <w:rsid w:val="00DB79A5"/>
    <w:rsid w:val="00DC2DCD"/>
    <w:rsid w:val="00DC3528"/>
    <w:rsid w:val="00DC3EE5"/>
    <w:rsid w:val="00DD4040"/>
    <w:rsid w:val="00DE0CBA"/>
    <w:rsid w:val="00DE2E99"/>
    <w:rsid w:val="00DE3C64"/>
    <w:rsid w:val="00DE3E7A"/>
    <w:rsid w:val="00DE49B5"/>
    <w:rsid w:val="00DE58FC"/>
    <w:rsid w:val="00DF1356"/>
    <w:rsid w:val="00DF29BA"/>
    <w:rsid w:val="00DF4FC3"/>
    <w:rsid w:val="00DF5109"/>
    <w:rsid w:val="00DF5903"/>
    <w:rsid w:val="00DF5C16"/>
    <w:rsid w:val="00DF6989"/>
    <w:rsid w:val="00E02C9D"/>
    <w:rsid w:val="00E0406F"/>
    <w:rsid w:val="00E04919"/>
    <w:rsid w:val="00E04C3E"/>
    <w:rsid w:val="00E076FA"/>
    <w:rsid w:val="00E1091B"/>
    <w:rsid w:val="00E10F9A"/>
    <w:rsid w:val="00E15A71"/>
    <w:rsid w:val="00E15AEC"/>
    <w:rsid w:val="00E175B3"/>
    <w:rsid w:val="00E17E21"/>
    <w:rsid w:val="00E21CC8"/>
    <w:rsid w:val="00E25FF0"/>
    <w:rsid w:val="00E30106"/>
    <w:rsid w:val="00E3027D"/>
    <w:rsid w:val="00E30DDE"/>
    <w:rsid w:val="00E365D3"/>
    <w:rsid w:val="00E412BB"/>
    <w:rsid w:val="00E469AC"/>
    <w:rsid w:val="00E47199"/>
    <w:rsid w:val="00E475DF"/>
    <w:rsid w:val="00E52D32"/>
    <w:rsid w:val="00E532AC"/>
    <w:rsid w:val="00E53937"/>
    <w:rsid w:val="00E53DFD"/>
    <w:rsid w:val="00E569BF"/>
    <w:rsid w:val="00E57801"/>
    <w:rsid w:val="00E624D7"/>
    <w:rsid w:val="00E62610"/>
    <w:rsid w:val="00E726F4"/>
    <w:rsid w:val="00E8467D"/>
    <w:rsid w:val="00E8694F"/>
    <w:rsid w:val="00E91C05"/>
    <w:rsid w:val="00E958D7"/>
    <w:rsid w:val="00E96CAF"/>
    <w:rsid w:val="00EB02EA"/>
    <w:rsid w:val="00EB059F"/>
    <w:rsid w:val="00EC141D"/>
    <w:rsid w:val="00ED0A07"/>
    <w:rsid w:val="00ED43D1"/>
    <w:rsid w:val="00EE0003"/>
    <w:rsid w:val="00EE6751"/>
    <w:rsid w:val="00EF041E"/>
    <w:rsid w:val="00F02231"/>
    <w:rsid w:val="00F0373C"/>
    <w:rsid w:val="00F05B25"/>
    <w:rsid w:val="00F10312"/>
    <w:rsid w:val="00F1128C"/>
    <w:rsid w:val="00F16775"/>
    <w:rsid w:val="00F17FC4"/>
    <w:rsid w:val="00F216CD"/>
    <w:rsid w:val="00F24AB6"/>
    <w:rsid w:val="00F25A79"/>
    <w:rsid w:val="00F311CA"/>
    <w:rsid w:val="00F3374E"/>
    <w:rsid w:val="00F377E5"/>
    <w:rsid w:val="00F41D3F"/>
    <w:rsid w:val="00F51FDC"/>
    <w:rsid w:val="00F56AC1"/>
    <w:rsid w:val="00F660FB"/>
    <w:rsid w:val="00F66F43"/>
    <w:rsid w:val="00F737E8"/>
    <w:rsid w:val="00F74D78"/>
    <w:rsid w:val="00F8125C"/>
    <w:rsid w:val="00F82144"/>
    <w:rsid w:val="00F85A7C"/>
    <w:rsid w:val="00F87A25"/>
    <w:rsid w:val="00F906E8"/>
    <w:rsid w:val="00F92D4E"/>
    <w:rsid w:val="00F93DE3"/>
    <w:rsid w:val="00FA1FCB"/>
    <w:rsid w:val="00FA37DC"/>
    <w:rsid w:val="00FA3894"/>
    <w:rsid w:val="00FA4378"/>
    <w:rsid w:val="00FB0744"/>
    <w:rsid w:val="00FB1AD7"/>
    <w:rsid w:val="00FC20CC"/>
    <w:rsid w:val="00FC51E2"/>
    <w:rsid w:val="00FC607D"/>
    <w:rsid w:val="00FC7C8B"/>
    <w:rsid w:val="00FD22D8"/>
    <w:rsid w:val="00FD2C96"/>
    <w:rsid w:val="00FD668A"/>
    <w:rsid w:val="00FD669D"/>
    <w:rsid w:val="00FD7D73"/>
    <w:rsid w:val="00FE06B4"/>
    <w:rsid w:val="00FE1606"/>
    <w:rsid w:val="00FE1D15"/>
    <w:rsid w:val="00FE2053"/>
    <w:rsid w:val="00FE72CF"/>
    <w:rsid w:val="00FF0FDF"/>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05"/>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customStyle="1" w:styleId="UnresolvedMention">
    <w:name w:val="Unresolved Mention"/>
    <w:basedOn w:val="DefaultParagraphFont"/>
    <w:uiPriority w:val="99"/>
    <w:semiHidden/>
    <w:unhideWhenUsed/>
    <w:rsid w:val="000F69D3"/>
    <w:rPr>
      <w:color w:val="605E5C"/>
      <w:shd w:val="clear" w:color="auto" w:fill="E1DFDD"/>
    </w:rPr>
  </w:style>
  <w:style w:type="paragraph" w:customStyle="1" w:styleId="Bezproreda">
    <w:name w:val="Bez proreda"/>
    <w:qFormat/>
    <w:rsid w:val="001B0E28"/>
    <w:pPr>
      <w:suppressAutoHyphens/>
    </w:pPr>
    <w:rPr>
      <w:rFonts w:ascii="Calibri" w:eastAsia="Calibri" w:hAnsi="Calibri" w:cs="Calibri"/>
      <w:sz w:val="22"/>
      <w:szCs w:val="22"/>
      <w:lang w:eastAsia="zh-CN"/>
    </w:rPr>
  </w:style>
  <w:style w:type="character" w:customStyle="1" w:styleId="Zadanifontodlomka">
    <w:name w:val="Zadani font odlomka"/>
    <w:rsid w:val="00055DF1"/>
  </w:style>
  <w:style w:type="character" w:customStyle="1" w:styleId="Zadanifontodlomka1">
    <w:name w:val="Zadani font odlomka1"/>
    <w:rsid w:val="00055DF1"/>
  </w:style>
  <w:style w:type="character" w:customStyle="1" w:styleId="normaltextrun">
    <w:name w:val="normaltextrun"/>
    <w:basedOn w:val="DefaultParagraphFont"/>
    <w:rsid w:val="00055DF1"/>
  </w:style>
</w:styles>
</file>

<file path=word/webSettings.xml><?xml version="1.0" encoding="utf-8"?>
<w:webSettings xmlns:r="http://schemas.openxmlformats.org/officeDocument/2006/relationships" xmlns:w="http://schemas.openxmlformats.org/wordprocessingml/2006/main">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5725158">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7503245">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21723899">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79557878">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74409022">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17858237">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eta.pikunic@bolnica-zadar.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B7C73-D129-4DC3-A7DF-0626B8CE7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4188</Words>
  <Characters>23876</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28008</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2022-08-17T10:06:00Z</dcterms:created>
  <dcterms:modified xsi:type="dcterms:W3CDTF">2022-08-24T08:22:00Z</dcterms:modified>
</cp:coreProperties>
</file>